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Cogecot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Cotton Co Ltd v Tanzania Marketing Board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January 2000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34/96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Mapigano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Bankruptcy – Attachment of property – Application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decreee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Holder to sell attached assets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belonging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public corporation – Corporation placed under receivership of Parastatal Sector Reform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Commission – Whether attached property should be released to receiver – Section 43 – Public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Corporations (Amendment) Act 1993 – Sections 9(1), 38 and 45 – Bankruptcy Ordinance (Chapter 25).</w:t>
      </w:r>
    </w:p>
    <w:p w:rsidR="00624B94" w:rsidRDefault="00641915" w:rsidP="00641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624B94" w:rsidRDefault="00624B94" w:rsidP="00641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MAPIGANO J: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Company SA holds a decree of this Court against the Tanzania Cotton Lint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Seed Board, a public corporation. Writs of execution of the decree have issued against the judgment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debtor, that is, an order for attachment of immovable assets and a prohibitory order in respect of moneys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various bank accounts, and those orders have been carried out.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has brought an application for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for sale of the immovable assets, but an objection has been taken by the Presidential Parastatal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Sector Reform Commission (hereinafter “the Commission”). The Commission seeks an order dismissing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Cogecot’s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application; setting aside the order for attachment of the immovable assets; and directing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broker to release those assets to the judgment debtor.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is a statutory body established under the provisions of section 21 of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Corporations Act, 1992, as amended by the Public Corporations (Amendment) Act, 1993. It is conferred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powers of restructuring or liquidating parastatal bodies which have been specified in accordance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that Act. It is admitted by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and it is clear that the judgment debtor has been declared such a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specified public corporation by the Minister of Finance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GN 330A published on 12 July 1998. With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from the date of operation of the GN the judgment – debtor has been placed under the Commission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restructuring or liquidating purposes. It also admitted by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Commission was, by virtue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43(1) of the Public Corporations (Amendment) Act, 1993, constituted the official receiver of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judgment debtor from the date of the publication of the GN, and that it has power and all rights of a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 appointed in accordance with or pursuant to the Bankruptcy Ordinance, Chapter 25.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by virtue of section 9(1) of Chapter 25, the Commission became receiver of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debtor’s property and entitled to take possession; all remedies enjoyed by creditors except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secured creditors, whose debts are provable in bankruptcy, are barred, and such creditors are left with a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prove in bankruptcy; all actions and proceedings against the property and the estate of the debtor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stayed unless their continuance is sanctioned by the court. Citing that provision,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Mselem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 for the Commission makes the following contentions. First, that to entertain </w:t>
      </w:r>
      <w:proofErr w:type="spellStart"/>
      <w:r>
        <w:rPr>
          <w:rFonts w:ascii="Times New Roman" w:hAnsi="Times New Roman" w:cs="Times New Roman"/>
          <w:color w:val="000000"/>
        </w:rPr>
        <w:t>Cogecot’s</w:t>
      </w:r>
      <w:proofErr w:type="spellEnd"/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an order for sale would be illegal. Second, that since the assets of the judgment debtor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been placed under the Commission they cannot he attached or sold by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>. Third, that since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assets have been attached in miscellaneous civil case number 58 of 1996 of this Court, which is not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dispute, it would be absurd to grant </w:t>
      </w:r>
      <w:proofErr w:type="spellStart"/>
      <w:r>
        <w:rPr>
          <w:rFonts w:ascii="Times New Roman" w:hAnsi="Times New Roman" w:cs="Times New Roman"/>
          <w:color w:val="000000"/>
        </w:rPr>
        <w:t>Cogecot’s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Learned counsel for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, Captain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Kameja</w:t>
      </w:r>
      <w:proofErr w:type="spellEnd"/>
      <w:r>
        <w:rPr>
          <w:rFonts w:ascii="Times New Roman" w:hAnsi="Times New Roman" w:cs="Times New Roman"/>
          <w:color w:val="000000"/>
        </w:rPr>
        <w:t>, thinks otherwise. He contends that section 9(1) should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read subject to section 45 of the Ordinance. Insofar as it is relevant to the matter at hand, sub-section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of the latter section provides that where a creditor has issued execution against the lands of a debtor,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shall not be entitled to retain the benefits of the execution against the trustee in bankruptcy of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debtor, unless be has completed the execution before the date of the receiving order, which in this case is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equated with the date of the publication of GN 330A of 1998. By subsection (2) of that section,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execution against land is completed by seizure. Captain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accordingly submits that since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completed execution upon the lands of the judgment debtor before the date of the publication of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GN, the execution is protected against the operation of section 9(1) of the Ordinance. With regard to the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execution which has issued in miscellaneous civil case number 58 of 1996, Captain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says, and he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right, that the law does not prohibit multiple attachments.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arises as to whether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had completed execution upon the assets before the </w:t>
      </w:r>
      <w:r>
        <w:rPr>
          <w:rFonts w:ascii="Times New Roman" w:hAnsi="Times New Roman" w:cs="Times New Roman"/>
          <w:color w:val="000000"/>
        </w:rPr>
        <w:lastRenderedPageBreak/>
        <w:t>date of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of the GN 20 is not in dispute that the warrant for the attachment of those assets was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executed by the court broker before the GN was published, and the court broker took possession thereof.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seizure, in the context of section 45 of the Ordinance, may be reasonably construed to mean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taking possession of the land in question. It seems to me, therefore, that under that section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would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entitled to retain the benefits of the execution against the Commission.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crucial question, however, is whether it would be proper to let </w:t>
      </w:r>
      <w:proofErr w:type="spellStart"/>
      <w:r>
        <w:rPr>
          <w:rFonts w:ascii="Times New Roman" w:hAnsi="Times New Roman" w:cs="Times New Roman"/>
          <w:color w:val="000000"/>
        </w:rPr>
        <w:t>Cogecot</w:t>
      </w:r>
      <w:proofErr w:type="spellEnd"/>
      <w:r>
        <w:rPr>
          <w:rFonts w:ascii="Times New Roman" w:hAnsi="Times New Roman" w:cs="Times New Roman"/>
          <w:color w:val="000000"/>
        </w:rPr>
        <w:t xml:space="preserve"> retain such benefits and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with the sale of the assets, given the provisions of section 43(2) of the Public Corporations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(Amendment) Act, 1993. I respectfully think not. As already stated, the Commission has the power and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the rights of a receiver appointed in accordance with or pursuant to the Bankruptcy Ordinance. But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64191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Mselem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made a valid point that in actual fact the Commission enjoys wider powers than those vested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receiver by the Ordinance.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of the Act, the Commission is empowered,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write off any debt of a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private creditor; and to reschedule the payment of such debt. The inference must be that unlike an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receiver, the Commission is not obliged to give priority to the preferential debts enumerated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section 38 of the Ordinance. I am of the opinion, therefore, that to let </w:t>
      </w:r>
      <w:proofErr w:type="spellStart"/>
      <w:r>
        <w:rPr>
          <w:rFonts w:ascii="Times New Roman" w:hAnsi="Times New Roman" w:cs="Times New Roman"/>
          <w:color w:val="000000"/>
        </w:rPr>
        <w:t>Cogecot’s</w:t>
      </w:r>
      <w:proofErr w:type="spellEnd"/>
      <w:r>
        <w:rPr>
          <w:rFonts w:ascii="Times New Roman" w:hAnsi="Times New Roman" w:cs="Times New Roman"/>
          <w:color w:val="000000"/>
        </w:rPr>
        <w:t xml:space="preserve"> title prevail over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Commission’s would be the negation of section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Act. For this reason, the objection is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upheld.</w:t>
      </w:r>
      <w:r w:rsidR="00641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attachment is raised and the assets under that attachment are to be released to the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Commission.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624B94" w:rsidRDefault="00624B94" w:rsidP="0062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624B94" w:rsidP="00624B94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94"/>
    <w:rsid w:val="003F18BF"/>
    <w:rsid w:val="00624B94"/>
    <w:rsid w:val="006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B04B-7785-4B19-88B5-06105A88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2018-07-05T10:19:00Z</dcterms:created>
  <dcterms:modified xsi:type="dcterms:W3CDTF">2018-07-12T07:56:00Z</dcterms:modified>
</cp:coreProperties>
</file>