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Commercial Bank of Africa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Ndirangu</w:t>
      </w:r>
      <w:proofErr w:type="spellEnd"/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30 June 2000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257/99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Primary and secondary documents – Appeal from ruling granting leave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appeal – Copy of judge’s notes and interlocutory applications omitted –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amended pleadings filed after decision appealed from are material – Whether omission of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primary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documents from the record of appeal renders the decision incurably defective – Rule 85 of Court</w:t>
      </w:r>
    </w:p>
    <w:p w:rsidR="00A8589D" w:rsidRDefault="00A8589D" w:rsidP="00A85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Appeal Rules.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BOSIRE and O’KUBASU JJA: </w:t>
      </w:r>
      <w:r>
        <w:rPr>
          <w:rFonts w:ascii="Times New Roman" w:hAnsi="Times New Roman" w:cs="Times New Roman"/>
          <w:color w:val="000000"/>
        </w:rPr>
        <w:t>When compiling its record of appeal against the decision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Superior Court dated 2 August 1999 in its civil case number 1803 of 1985, granting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leave to amend its plaint, the Appellant, Commercial Bank of Africa Limited (which we shall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hereafter refer to as CBA) omitted the trial Judge’s notes of proceedings in the suit for the period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19 August 1985 and 15 September 1998;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which was filed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 August 1999 which was long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order appealed against was made and the reply thereto; two rulings by Lady Justice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(as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then was) dated 2 July 1997 and 26 February 1998 respectively; an expert’s report on the financial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affairs between the parties herein; a copy of the general terms and conditions governing the opening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a bank account with the Appellant; a copy of the request for particulars of the amended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plaint, the application for the particulars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; a copy of proceedings after 2 August 1999 and a copy of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consent order dated 16 May 1994. On that account, the Respondent, Isaac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>, who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convenience’s sake we shall hereafter refer to as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>, moved this Court by motion under Rule 80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Rules, for an order that the notice of appeal dated 3 August 1999 which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timeously filed pursuant to Rule 74 of the Rules, an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 the record of appeal aforesaid, be struck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on the ground that their omission from the record rendered it incurably defective in view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Rule 85(1) of the Court of Appeal Rules (the Rules).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CBA concedes that the documents enumerated above were indeed omitted from its record of appeal.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however, contended on its behalf that the documents were not only unessential in the determination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its appeal but also that by their nature their inclusion in the record of appeal is optional and 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be included at the discretion of the Appellant. Besides, that if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 xml:space="preserve"> considered the documents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 he was at liberty to file a supplementary record of appeal pursuant to the provisions of Rule 89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Rules. In his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for CBA, urged the view that rules of procedure are merely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handmaids of justice and should therefore be liberally construed, more so where they are not worded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mandatory terms. In support of that proposition, he cited two cases, namely, </w:t>
      </w:r>
      <w:r>
        <w:rPr>
          <w:rFonts w:ascii="Times New Roman" w:hAnsi="Times New Roman" w:cs="Times New Roman"/>
          <w:i/>
          <w:iCs/>
          <w:color w:val="000000"/>
        </w:rPr>
        <w:t>Iron and Steel Wares Ltd v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Martys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</w:t>
      </w:r>
      <w:r>
        <w:rPr>
          <w:rFonts w:ascii="Times New Roman" w:hAnsi="Times New Roman" w:cs="Times New Roman"/>
          <w:color w:val="000000"/>
        </w:rPr>
        <w:t xml:space="preserve">(1956) 23 EACA 175 and </w:t>
      </w:r>
      <w:r>
        <w:rPr>
          <w:rFonts w:ascii="Times New Roman" w:hAnsi="Times New Roman" w:cs="Times New Roman"/>
          <w:i/>
          <w:iCs/>
          <w:color w:val="000000"/>
        </w:rPr>
        <w:t xml:space="preserve">Brickfield Properties Ltd v Newton </w:t>
      </w:r>
      <w:r>
        <w:rPr>
          <w:rFonts w:ascii="Times New Roman" w:hAnsi="Times New Roman" w:cs="Times New Roman"/>
          <w:color w:val="000000"/>
        </w:rPr>
        <w:t>(1971) WLR 862.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Additionally, he submitted that it would be wrong to overload the record of appeal with documents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even though they may have been referred to at the trial they were not specifically exhibited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us to rule that their omission from the record of appeal is inconsequential. For that proposition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Timber Co </w:t>
      </w:r>
      <w:r>
        <w:rPr>
          <w:rFonts w:ascii="Times New Roman" w:hAnsi="Times New Roman" w:cs="Times New Roman"/>
          <w:color w:val="000000"/>
        </w:rPr>
        <w:t>(1970) EA 422.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CBA’s appeal challenges the exercise of judicial discretion by the trial Judge (</w:t>
      </w:r>
      <w:proofErr w:type="spellStart"/>
      <w:r>
        <w:rPr>
          <w:rFonts w:ascii="Times New Roman" w:hAnsi="Times New Roman" w:cs="Times New Roman"/>
          <w:color w:val="000000"/>
        </w:rPr>
        <w:t>Oguk</w:t>
      </w:r>
      <w:proofErr w:type="spellEnd"/>
      <w:r>
        <w:rPr>
          <w:rFonts w:ascii="Times New Roman" w:hAnsi="Times New Roman" w:cs="Times New Roman"/>
          <w:color w:val="000000"/>
        </w:rPr>
        <w:t xml:space="preserve"> J) in granting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 xml:space="preserve"> leave to amend his plaint, over four years after the date of his suit and after trial of the suit had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commenced. We have no hesitation whatsoever, in ruling that any documents filed after that decision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material in the appeal nor can the Appellant be faulted for excluding them from the record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They were not before the trial Judge when he gave his decision, and their inclusion in the record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would, in the circumstances, be superfluous. It is, however, trite law that for an appellate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interfere with the exercise of judicial discretion of a trial court all the material that was before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except such material as is excluded by a direction or an order given under Rule 85(3) of the Rules,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have first been looked at and the court </w:t>
      </w:r>
      <w:r>
        <w:rPr>
          <w:rFonts w:ascii="Times New Roman" w:hAnsi="Times New Roman" w:cs="Times New Roman"/>
          <w:color w:val="000000"/>
        </w:rPr>
        <w:lastRenderedPageBreak/>
        <w:t>after doing so comes to the conclusion that the Judge erred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principle or that he was plainly wrong. We, however,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that not all documents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 before the trial court are essential for the determination of an appeal against a decision of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question which immediately arises, an answer to which we think, is central in coming to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in the matter before us is, who has the power to decide which documents, other than primary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which must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included, are essential and should therefore form part of the record of appeal.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for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urged the view that for non-primary documents the parties to an appeal decide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they would want to use in the appeal and, accordingly, take appropriate steps to bring them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Ndirangu</w:t>
      </w:r>
      <w:proofErr w:type="spellEnd"/>
      <w:r>
        <w:rPr>
          <w:rFonts w:ascii="Times New Roman" w:hAnsi="Times New Roman" w:cs="Times New Roman"/>
          <w:color w:val="000000"/>
        </w:rPr>
        <w:t xml:space="preserve"> did not think that, on the facts and circumstances of this case, any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documents could properly be excluded without rendering the case unintelligible.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85(1) above, enumerates documents to be included in a record of a first appeal to this Court.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are of two categories, primary and secondary. The omission of any or parts of a document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primary category renders an appeal incurably defective and therefore incompetent. We have already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documents which were filed in court after the ruling appealed against are superfluous. Among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documents are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counterclaim, the reply thereto and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counterclaim. The trial court’s notes whether or not either party considers them relevant and essential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determination of the appeal, provided they were made before the decision appealed from, are primary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and unless specifically excluded by a judge’s direction given under Rule 85(3) aforesaid,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from the record, as is the case here, render the appeal incompetent. Likewise all interlocutory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and orders made pursuant thereto, and all exhibits, must be included in the record of appeal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excluded as aforesaid. A party in a suit has no discretion to exclude from the record of appeal any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document, whether primary or otherwise in view of that provision. Had the rules-making authority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otherwise, there would have been no necessity of specifically vesting the power on the Superior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give a direction in that regard.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Besides, the enactment of Rule 89 does not confer on this Court the power to excuse the exclusion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document from a record of appeal, but merely creates an opening for bringing on record, with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of the court, certain essential documents which, by an oversight or inadvertence, were excluded.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wish to observe that the cases cited on interpretation of rules of procedure would only apply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where there meaning is doubtful but not where they are clear, as here. The authorities are of no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assistance to the Appellant’s case.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debate as to whether certain bundles of documents, which were exchanged between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and which were put to witness who partly testified before the application for leave to amend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was filed, and which the trial Judge might have looked at before granting the leave to amend, could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considered as exhibits within the meaning of Rule 85(1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r>
        <w:rPr>
          <w:rFonts w:ascii="Times New Roman" w:hAnsi="Times New Roman" w:cs="Times New Roman"/>
          <w:color w:val="000000"/>
        </w:rPr>
        <w:t xml:space="preserve">) of the Rules.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expressed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that because the bundles were not formally tendered as exhibits, they should be disregarded,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so, he said, because they were not an agreed bundle or bundles.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Timber Company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as authority for the proposition that unless documents are specifically put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evidence, they should not be looked at. 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as the trial Judge was given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copies of those documents and he had an opportunity of looking at them, they might have influenced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 Besides, he said, the documents were put to his client for comment during his oral testimony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below.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stated earlier, this appeal challenges the exercise of judicial discretion. The bundles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in issue were among the documents the trial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before it and it is possible that court relied on them to come to the decision appealed against. As both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in this mater were in agreement that the documents were given to the trial Judge, in support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parties’ respective cases, they were in our view, exhibits and should have, therefore, formed part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appeal, in absence of any direction in that regard under Rule 85(3) aforesaid.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 and for the foregoing reasons, we are satisfied that CBA’s record of appeal is incurably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defective and that renders its appeal incompetent. We accordingly allow </w:t>
      </w:r>
      <w:proofErr w:type="spellStart"/>
      <w:r>
        <w:rPr>
          <w:rFonts w:ascii="Times New Roman" w:hAnsi="Times New Roman" w:cs="Times New Roman"/>
          <w:color w:val="000000"/>
        </w:rPr>
        <w:t>Ndirangu’s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 dated 24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1999 strike out CBA’s appeal and award the costs both of the appeal and the application to the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Applicant.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Fraser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Hamilton Harrison and Mathews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BE3525" w:rsidRDefault="00BE3525" w:rsidP="00BE3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 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Waweru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Gatonye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3F18BF" w:rsidRDefault="003F18BF" w:rsidP="00BE3525">
      <w:pPr>
        <w:autoSpaceDE w:val="0"/>
        <w:autoSpaceDN w:val="0"/>
        <w:adjustRightInd w:val="0"/>
        <w:spacing w:after="0" w:line="240" w:lineRule="auto"/>
      </w:pP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9D"/>
    <w:rsid w:val="003F18BF"/>
    <w:rsid w:val="00A8589D"/>
    <w:rsid w:val="00B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1895-841C-41D0-AEC0-A318F32A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2018-07-05T11:20:00Z</dcterms:created>
  <dcterms:modified xsi:type="dcterms:W3CDTF">2018-07-12T08:05:00Z</dcterms:modified>
</cp:coreProperties>
</file>