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Commissioner of Income Tax v Westmont Power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(k)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Limited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April 2006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626/02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VISRAM J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Interpretation of statutes – Principles of interpreting taxation laws in cases of ambiguity.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Taxation law – Whether generation of electricity qualifies to be a manufacturing process under the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Income Tax Act – Whether investment deductions and wear and tear deductions are applicable.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7462A" w:rsidRDefault="00FA4582" w:rsidP="00C74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imported two barges for fuel storage and power generation and subsequently claimed an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Investment Deduction allowance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1 534 415 670 and Wear and Tear allowance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123 955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759. This resulted in a declared income loss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1 612 606 560. The appellant however revised the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30 971 320 on the basis that the barges was not covered by the circumstances which would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 the respondent to make the claims.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appealed to the Local Committee pursuant to section 86(1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Income Tax Act.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Local Committee, in holding for the respondent, stated that power generation has always been a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manufacturing process and that the barges carry the function of premises and should be defined as such.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however appealed arguing that prior to 2001 power generation was not a manufacturing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and that it only became a manufacturing process after the amendment to paragraph 24 of the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Schedule to the Income Tax Act vide Finance Act 2001.</w:t>
      </w:r>
      <w:r w:rsidR="00C7462A">
        <w:rPr>
          <w:rFonts w:ascii="Times New Roman" w:hAnsi="Times New Roman" w:cs="Times New Roman"/>
          <w:color w:val="000000"/>
        </w:rPr>
        <w:t xml:space="preserve"> </w:t>
      </w:r>
    </w:p>
    <w:p w:rsidR="00C7462A" w:rsidRDefault="00C7462A" w:rsidP="00C74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A4582" w:rsidRDefault="00FA4582" w:rsidP="00C74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Taxation laws that have the effect of depriving citizens of their property by imposing pecuniary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burdens resulting also in penal consequences must be interpreted with great caution. In this respect, it is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paramount that their provisions must be express and clear so as to leave no room for ambiguity. Any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ambiguity in such a law must be resolved in favour of the taxpayer and not the public revenue authorities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are responsible for their implementation. </w:t>
      </w:r>
      <w:r>
        <w:rPr>
          <w:rFonts w:ascii="Times New Roman" w:hAnsi="Times New Roman" w:cs="Times New Roman"/>
          <w:i/>
          <w:iCs/>
          <w:color w:val="000000"/>
        </w:rPr>
        <w:t>Inland Revenue v Scottish Central Electricity Company</w:t>
      </w:r>
      <w:r w:rsidR="00C7462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[1931] 15 TC 761 followed.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 power generation is a process that amounts to what is defined in the Act as a manufacturing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since it involves the conversion of one thing into another which is desired for consumption. A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purposeful interpretation must be adopted if one is to appreciate the purpose of exemption contemplated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matters.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</w:t>
      </w:r>
      <w:r w:rsidR="00C7462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overruled)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Commissioner of General Income Tax v Power Limited </w:t>
      </w:r>
      <w:r>
        <w:rPr>
          <w:rFonts w:ascii="Times New Roman" w:hAnsi="Times New Roman" w:cs="Times New Roman"/>
          <w:color w:val="000000"/>
        </w:rPr>
        <w:t>[1970] EA 328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Other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Commissioner of Inland Revenue v Scottish Central Electricity Power Company </w:t>
      </w:r>
      <w:r>
        <w:rPr>
          <w:rFonts w:ascii="Times New Roman" w:hAnsi="Times New Roman" w:cs="Times New Roman"/>
          <w:color w:val="000000"/>
        </w:rPr>
        <w:t>[1931] 15 TC 761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Inland Revenue v Scottish Central Electricity Company </w:t>
      </w:r>
      <w:r>
        <w:rPr>
          <w:rFonts w:ascii="Times New Roman" w:hAnsi="Times New Roman" w:cs="Times New Roman"/>
          <w:color w:val="000000"/>
        </w:rPr>
        <w:t xml:space="preserve">[1931] 15 TC 761 </w:t>
      </w:r>
      <w:r>
        <w:rPr>
          <w:rFonts w:ascii="Verdana" w:hAnsi="Verdana" w:cs="Verdana"/>
          <w:color w:val="000000"/>
          <w:sz w:val="18"/>
          <w:szCs w:val="1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FA4582" w:rsidRDefault="00FA4582" w:rsidP="00FA4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Quebec Hydro-Electric Commission v Deputy Minister of National Revenue</w:t>
      </w:r>
    </w:p>
    <w:p w:rsidR="00EE7594" w:rsidRDefault="00FA4582" w:rsidP="00FA4582">
      <w:r>
        <w:rPr>
          <w:rFonts w:ascii="Times New Roman" w:hAnsi="Times New Roman" w:cs="Times New Roman"/>
          <w:i/>
          <w:iCs/>
          <w:color w:val="000000"/>
        </w:rPr>
        <w:t xml:space="preserve">State Electricity Commission of Victoria v Commissioner of Taxation </w:t>
      </w:r>
      <w:r>
        <w:rPr>
          <w:rFonts w:ascii="Times New Roman" w:hAnsi="Times New Roman" w:cs="Times New Roman"/>
          <w:color w:val="000000"/>
        </w:rPr>
        <w:t>[1999] FCA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2"/>
    <w:rsid w:val="00C7462A"/>
    <w:rsid w:val="00EE7594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279B4-F879-4D4C-9CAA-D7430E5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2018-07-05T08:54:00Z</dcterms:created>
  <dcterms:modified xsi:type="dcterms:W3CDTF">2018-07-12T08:06:00Z</dcterms:modified>
</cp:coreProperties>
</file>