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Commissioner of Income Tax v Westmont Power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(k)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Limited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April 2006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626/02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VISRAM J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Interpretation of statutes – Principles of interpreting taxation laws in cases of ambiguity.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Taxation law – Whether generation of electricity qualifies to be a manufacturing process under the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Income Tax Act – Whether investment deductions and wear and tear deductions are applicable.</w:t>
      </w:r>
    </w:p>
    <w:p w:rsidR="004E40F4" w:rsidRDefault="00B65F8F" w:rsidP="00B65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65F8F" w:rsidRDefault="004E40F4" w:rsidP="00B65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Visram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These are two appeals brought under rule 4 of the Income Tax (Appeals to the High Court)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rules. Although there is no formal order on record that the two appeals be consolidated, they both relate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similar facts and are both concerned with the same legal question. They also involve the same parties.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appeals have been conducted simultaneously and the contending parties have proceeded in a manner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suggest that the two had been consolidated. The pleadings, authorities and submissions in both were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except for minor differences relating to matters of detail which are not important to the decision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appeals. For those reasons and any other that may emerge later, I have decided to write one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for both appeals and the decision herein will apply to both equally.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I embark on the issues raised in the appeals, here is a recapitulation of the facts.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name shows, the appellant is the Commissioner of Income Tax. The respondent on its part is a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limited liability company engaged in the production of electric power in our Republic. To enable it </w:t>
      </w:r>
      <w:proofErr w:type="spellStart"/>
      <w:r>
        <w:rPr>
          <w:rFonts w:ascii="Times New Roman" w:hAnsi="Times New Roman" w:cs="Times New Roman"/>
          <w:color w:val="000000"/>
        </w:rPr>
        <w:t>do</w:t>
      </w:r>
      <w:proofErr w:type="spellEnd"/>
      <w:r>
        <w:rPr>
          <w:rFonts w:ascii="Times New Roman" w:hAnsi="Times New Roman" w:cs="Times New Roman"/>
          <w:color w:val="000000"/>
        </w:rPr>
        <w:t xml:space="preserve"> its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business, the respondent imported two barges for fuel storage and power generation. Now, this is where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problem arose. According to law, a tax payer was entitled in certain circumstances to claim what was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as “Investment Deduction Allowance” and to be granted what was referred to as “Wear and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Tear deduction”. This is considered later. So when the respondent declared its tax liability in 1997 it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claimed an Investment Deduction Allowance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1 534 415 670 and Wear and Tear Allowance –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as Wear and Tear Deduction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123 955 759. This resulted in a Declared Income loss of K£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80 630 238 which is equal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1 612 606 560 on the basis of the barges it had imported. The claims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rejected by the appellant which upon reassessment revised the respondent’s income loss as K£ 1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539 566 which is equal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30 791 320. The reason given by the appellant for the rejection was that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years in issue, the purpose for the importation of the barges was not covered by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which would entitle the respondent to make the claims. The respondent was aggrieved by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of the appellant and following interim procedures appealed to the relevant Local Committee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in the matter pursuant to the provisions of section 86(1)(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Income Tax Act (Chapter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470). The basis of the appeals to the committee were as follows: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The respondent (the appellant in this appeal) has erred by refusing to accept … (the) claim for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investment deduction on construction of an industrial building,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purchase and installation of plant and machinery used for purpose of manufacture as provided under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paragraph 24 of the second schedule of the Income Tax Act.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respondent has erred by refusing to grant … (the respondent in this appeal) wear and tear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deduction on plant and machinery as provided under paragraph 7(1) and 8(1)(ii) of the second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schedule of the Act.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respondent has erred by reducing … (the respondent’s – the one before me) adjusted loss for the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year to K£ 1 539 566.”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Committee found in favour of the respondent as follows: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Generation of power has always been a manufacturing process.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Barges carry the function of premises and should be defined as such.”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aggrieved by the decision of the Committee and lodged the present appeals.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 are based on the same grounds which were set out in the Memoranda of Appeals as follows:</w:t>
      </w:r>
      <w:r w:rsidR="00B65F8F">
        <w:rPr>
          <w:rFonts w:ascii="Times New Roman" w:hAnsi="Times New Roman" w:cs="Times New Roman"/>
          <w:color w:val="000000"/>
        </w:rPr>
        <w:t xml:space="preserve"> </w:t>
      </w:r>
    </w:p>
    <w:p w:rsidR="00B65F8F" w:rsidRDefault="004E40F4" w:rsidP="00B65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“(1) The Local Committee for Nairobi South erred in Law and in fact in holding that generation of power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always been a manufacturing process even prior to the amendment contained in the Finance Act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2001.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Local Committee for Nairobi South erred in Law and in fact in failing to take into account that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prior to 2001 generation of power was not a manufacturing process and the same became a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manufacturing process after the amendment of paragraph 24 of the second schedule to the Income Tax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 vide Finance Act 2001.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Local Committee’s ruling is bad in law in that it did not ‘confirm, reduce, increase or annul’ the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appellant’s assessment as is required under section 87(2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c) of the Income Tax Act.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(4) The Local Committee erred in Law by relying on dubious, unverified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evidence, material and case law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countries with different Legislations and experiences as relates to generation of power as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presented by the respondent. Pursuant to rule 5 of the Income Tax (Appeals to High Court) rules, the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 attaches: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5F8F" w:rsidRDefault="004E40F4" w:rsidP="00B65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copy of the Notice of the Local Committee decision dated 20 September 2002 marked “A”.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5F8F" w:rsidRDefault="004E40F4" w:rsidP="00B65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A copy of the Notice of Intention to Appeal to the High Court dated 2 October 2002 marked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“B”.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65F8F" w:rsidRDefault="004E40F4" w:rsidP="00B65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tatement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facts marked “C”.”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controversy in the above assessments affected the years 1997 and 1998. So one appeal relates to one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year while the other to the next year. However, only one decision is necessary to resolve the disputes in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appeals.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are in agreement as to the issues in dispute. There are two issues. The first one is whether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generation amounted to power manufacture and the second one is whether a barge carries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 of premises. If the answer to both is yes, then the respondent would be entitled to make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claims in issue and result in the appeals being refused.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filed and relied upon written submissions. According to the appellant, power generation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not, until the year 2001, amount to manufacturing and that a barge did not carry the functions of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to qualify for wear and tear deduction.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relevant provisions of law which relate to the disputes in the appeals are set out in paragraphs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7(1) Part II and 24(1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Part V of the second schedule to Chapter 470. I will reproduce those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provisions: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7(1) of Part II of the second schedule provides as follows: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this part; where, during a year of income, machinery owned by a person is used by him for the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purpose of his business, there shall be made in computing his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gains or profits for that year of income a deduction (in this part referred to as ‘wear and tear deduction”).’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Paragraph 24(1)(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on its part provides as follows: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“Subject to this schedule, where capital expenditure is incurred: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on the construction of a building and on the purchase and installation therein of new machinery, and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owner of that machinery, being also the owner or lessee of that building, uses that machinery in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building for the purposes of manufacture; or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on or after 1 January 1992 on the purchase and installation of machinery to be used for the purpose of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manufacture; or otherwise setting up the machinery for use as may be appropriate for the type of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machine . . .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shall be deducted, in computing gains or profits of the person incurring that expenditure for the year of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income in which they were first used… a deduction referred to as investment deduction.”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First things first. Although the appellant appeared to suggest in its appeal that there was also a dispute on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status of the barges, this is not borne out in the Memoranda of Appeals. In fact, in its written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submissions, the appellant only made a passing reference to that aspect of the case but did not tell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how it was aggrieved by it and in what manner it sought to fault the Committee’s decision on it. It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surprising, therefore, that the respondent did not make any submission on that question: The reason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simply because it was not part of the appeals and was therefore a minor issue to begin with.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part which needs to be put out of the way immediately relates to what I consider to be a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technical objection to the decision of the committee and that is captured in ground number three of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appeals. This objection is, in my view, spurious and a red herring. It is pedantic and not helpful to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resolution of the real contest between the parties. It is quite obvious that the Committee overturned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appellant. The effect of that was that the appellant’s decision was annulled. In the written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 filed on behalf of the appellant, his counsel did not refer me to any authority on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 of the committee failing to specifically say that it had annulled the decision of the appellant.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court like all other judicial tribunals deliberating on disputes before it, is concerned with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and merits of a decision and not its technical points. I was not told nor is there any evidence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 has suffered substantial injustice as a result of the alleged default if indeed it is one.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objection based on that ground must and is hereby rejected.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I may, let me now go to what I consider to be the main point for decision. It is simply this: did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generation of electricity during the period in question constitute or amount to “manufacturing” to entitle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the claims for investment deductions?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are not in dispute as to what amounts to manufacturing as concerns the matters in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controversy. In fact, that is understandably so since the same is not without an independent definition.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 “manufacture” for the purposes of the matters raised in the appeals was defined as follows in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24(3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of the second schedule of Chapter 470:</w:t>
      </w:r>
    </w:p>
    <w:p w:rsidR="00B65F8F" w:rsidRDefault="00B65F8F" w:rsidP="00B65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4E40F4">
        <w:rPr>
          <w:rFonts w:ascii="Times New Roman" w:hAnsi="Times New Roman" w:cs="Times New Roman"/>
          <w:color w:val="000000"/>
          <w:sz w:val="20"/>
          <w:szCs w:val="20"/>
        </w:rPr>
        <w:t>“The making (including packaging) of goods or materials or other goods but does not extend to any activities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E40F4">
        <w:rPr>
          <w:rFonts w:ascii="Times New Roman" w:hAnsi="Times New Roman" w:cs="Times New Roman"/>
          <w:color w:val="000000"/>
          <w:sz w:val="20"/>
          <w:szCs w:val="20"/>
        </w:rPr>
        <w:t>which are ancillary to manufacture, such as design, storage, transport or administration.”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E40F4" w:rsidRDefault="004E40F4" w:rsidP="00B65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I understood the contesting parties well, counsel for the appellant took the position that the provisions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that paragraph ought to be interpreted strictly so that since it did not specifically mention generation of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electricity, the same should not be included in the definition of the word manufacture. The respondent’s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counsel on the other hand argued that the court ought to give a purposeful interpretation to the Act saying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although there was no specific mention of the word power generation in the definition, the same was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fact to be so included.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advocate did not cite any judicial authority to support his proposition.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advocate on his part gave a detailed illustration of the process of electric power generation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support the fact that the same amounted to manufacturing. In her submission, it was said that the fuel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barge stores fuel which was the raw material for the generation of electrical power. During what was said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normal operation of the plant, fuel is transferred from the service tank in the fuel barge by a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forwarding pump to the power barge through interconnecting hoses and pipes, into the main pump on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 barge. The process goes on, leading to combustion, leading to a “fuel to electricity conversion”.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Referring to </w:t>
      </w:r>
      <w:r>
        <w:rPr>
          <w:rFonts w:ascii="Times New Roman" w:hAnsi="Times New Roman" w:cs="Times New Roman"/>
          <w:i/>
          <w:iCs/>
          <w:color w:val="000000"/>
        </w:rPr>
        <w:t xml:space="preserve">Commissioner of General Income Tax v Power Limited </w:t>
      </w:r>
      <w:r>
        <w:rPr>
          <w:rFonts w:ascii="Times New Roman" w:hAnsi="Times New Roman" w:cs="Times New Roman"/>
          <w:color w:val="000000"/>
        </w:rPr>
        <w:t>[1970] EA 328 which stipulated that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“the verb manufacture may within certain limits, have different meanings according to the context in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it is used, but in almost every sense it must mean to produce something”, she urged the court to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that power generation was a manufacturing process. Counsel also referred to certain Commonwealth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decisions which suggested that electricity was something that could be “made”. In the </w:t>
      </w:r>
      <w:r>
        <w:rPr>
          <w:rFonts w:ascii="Times New Roman" w:hAnsi="Times New Roman" w:cs="Times New Roman"/>
          <w:i/>
          <w:iCs/>
          <w:color w:val="000000"/>
        </w:rPr>
        <w:t>Matter of an</w:t>
      </w:r>
      <w:r w:rsidR="00B65F8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Application for a Patent </w:t>
      </w:r>
      <w:r>
        <w:rPr>
          <w:rFonts w:ascii="Times New Roman" w:hAnsi="Times New Roman" w:cs="Times New Roman"/>
          <w:color w:val="000000"/>
        </w:rPr>
        <w:t xml:space="preserve">by Henry </w:t>
      </w:r>
      <w:proofErr w:type="spellStart"/>
      <w:r>
        <w:rPr>
          <w:rFonts w:ascii="Times New Roman" w:hAnsi="Times New Roman" w:cs="Times New Roman"/>
          <w:color w:val="000000"/>
        </w:rPr>
        <w:t>Barnato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Rartzen</w:t>
      </w:r>
      <w:proofErr w:type="spellEnd"/>
      <w:r>
        <w:rPr>
          <w:rFonts w:ascii="Times New Roman" w:hAnsi="Times New Roman" w:cs="Times New Roman"/>
          <w:color w:val="000000"/>
        </w:rPr>
        <w:t xml:space="preserve"> Patents Appeal Tribunal, United Kingdom and that it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“goods” (</w:t>
      </w:r>
      <w:r>
        <w:rPr>
          <w:rFonts w:ascii="Times New Roman" w:hAnsi="Times New Roman" w:cs="Times New Roman"/>
          <w:i/>
          <w:iCs/>
          <w:color w:val="000000"/>
        </w:rPr>
        <w:t xml:space="preserve">State Electricity Commission of Victoria v Commissioner of Taxation </w:t>
      </w:r>
      <w:r>
        <w:rPr>
          <w:rFonts w:ascii="Times New Roman" w:hAnsi="Times New Roman" w:cs="Times New Roman"/>
          <w:color w:val="000000"/>
        </w:rPr>
        <w:t>[1999] FCA; and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Quebec Hydro-Electric Commission v Deputy Minister of National Revenue</w:t>
      </w:r>
      <w:r>
        <w:rPr>
          <w:rFonts w:ascii="Times New Roman" w:hAnsi="Times New Roman" w:cs="Times New Roman"/>
          <w:color w:val="000000"/>
        </w:rPr>
        <w:t>) she argued the definition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 to the word manufacture in the Act should be interpreted without more restriction other than that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specified in it. If, she argued, there was any </w:t>
      </w:r>
      <w:r w:rsidR="00B65F8F">
        <w:rPr>
          <w:rFonts w:ascii="Times New Roman" w:hAnsi="Times New Roman" w:cs="Times New Roman"/>
          <w:color w:val="000000"/>
        </w:rPr>
        <w:t>ambiguity that</w:t>
      </w:r>
      <w:r>
        <w:rPr>
          <w:rFonts w:ascii="Times New Roman" w:hAnsi="Times New Roman" w:cs="Times New Roman"/>
          <w:color w:val="000000"/>
        </w:rPr>
        <w:t xml:space="preserve"> should be interpreted in favour of the tax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payer. For this proposition, she referred to the case of </w:t>
      </w:r>
      <w:r>
        <w:rPr>
          <w:rFonts w:ascii="Times New Roman" w:hAnsi="Times New Roman" w:cs="Times New Roman"/>
          <w:i/>
          <w:iCs/>
          <w:color w:val="000000"/>
        </w:rPr>
        <w:t>Commissioner of Inland Revenue v Scottish</w:t>
      </w:r>
      <w:r w:rsidR="00B65F8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Central Electricity Power Company </w:t>
      </w:r>
      <w:r>
        <w:rPr>
          <w:rFonts w:ascii="Times New Roman" w:hAnsi="Times New Roman" w:cs="Times New Roman"/>
          <w:color w:val="000000"/>
        </w:rPr>
        <w:t>[1931] 15 TC 761 where the court said as follows at 790.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“But in a taxing Act, I venture to think that it would be contrary to all principle to seek for an implication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against a tax payer.”</w:t>
      </w:r>
      <w:r w:rsidR="00B65F8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 good measure, the respondent’s counsel argued that when Parliament amended the law under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to include generation of electricity as manufacture, it was moving to clarify what was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envisaged even before.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considered all the positions presented by the contending parties and I am persuaded to agree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submissions proffered by the respondent’s counsel.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though taxation is acceptable and even essential in democratic societies, taxation laws that have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effect of depriving citizens of their property by imposing pecuniary burdens resulting also in penal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consequences must be interpreted with great caution. In this respect, it is paramount that their provisions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be express and clear so as to leave no room for ambiguity. Following the </w:t>
      </w:r>
      <w:r>
        <w:rPr>
          <w:rFonts w:ascii="Times New Roman" w:hAnsi="Times New Roman" w:cs="Times New Roman"/>
          <w:i/>
          <w:iCs/>
          <w:color w:val="000000"/>
        </w:rPr>
        <w:t>Inland Revenue v Scottish</w:t>
      </w:r>
      <w:r w:rsidR="00B65F8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Central Electricity Company </w:t>
      </w:r>
      <w:r>
        <w:rPr>
          <w:rFonts w:ascii="Times New Roman" w:hAnsi="Times New Roman" w:cs="Times New Roman"/>
          <w:color w:val="000000"/>
        </w:rPr>
        <w:t>case, any ambiguity in such a law must be resolved in favour of the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taxpayer and not the Public Revenue Authorities which are responsible for their implementation. That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aside, it is quite evident from the explanation advanced that electric power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generation is a process that amounts to what is defined in the Act as a manufacturing process since it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involves the conversion of one thing into another which is desired for consumption. I agree that in this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a purposeful interpretation must be adopted if one is to appreciate the purpose of the exemption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contemplated in these matters. This position must have been the reason why it was subsequently found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 to amend the law to include generation of electric power in the definition of the word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“manufacture”.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counsel did not assail the foreign decisions cited on behalf by the respondent’s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on substance save to make a general statement without elaboration that the position here was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different. Whether that is so or not, I am convinced that the foreign authorities alluded to are persuasive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 will be guided by the same.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result, I am left with no option but to dismiss the two appeals which I hereby do with costs to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</w:t>
      </w:r>
      <w:r w:rsidR="00B65F8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4E40F4" w:rsidRDefault="004E40F4" w:rsidP="004E40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E7594" w:rsidRDefault="004E40F4" w:rsidP="004E40F4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F4"/>
    <w:rsid w:val="004E40F4"/>
    <w:rsid w:val="00B65F8F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8C4B1-D771-42A4-A712-0BC94EE6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2018-07-05T08:55:00Z</dcterms:created>
  <dcterms:modified xsi:type="dcterms:W3CDTF">2018-07-12T08:09:00Z</dcterms:modified>
</cp:coreProperties>
</file>