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Commissioner-General v MacArthur and</w:t>
      </w:r>
      <w:r w:rsidR="00607033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Baker International (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)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December 2000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42/99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Makame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Kisanga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L J S </w:t>
      </w:r>
      <w:proofErr w:type="spellStart"/>
      <w:r>
        <w:rPr>
          <w:rFonts w:ascii="Times New Roman" w:hAnsi="Times New Roman" w:cs="Times New Roman"/>
          <w:color w:val="000000"/>
        </w:rPr>
        <w:t>Mwandambo</w:t>
      </w:r>
      <w:proofErr w:type="spellEnd"/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Companies – Resident company – Registration – Effect of registration – Whether a foreign company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registered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sections 320A and 321 was entitled to resident status – Companies Ordinance (Chapter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212), sections 14, 15, 320A and 321.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Statutes – Construction – “Registered” – </w:t>
      </w:r>
      <w:proofErr w:type="spellStart"/>
      <w:r>
        <w:rPr>
          <w:rFonts w:ascii="Times New Roman" w:hAnsi="Times New Roman" w:cs="Times New Roman"/>
          <w:color w:val="000000"/>
        </w:rPr>
        <w:t>Ejusdem</w:t>
      </w:r>
      <w:proofErr w:type="spellEnd"/>
      <w:r>
        <w:rPr>
          <w:rFonts w:ascii="Times New Roman" w:hAnsi="Times New Roman" w:cs="Times New Roman"/>
          <w:color w:val="000000"/>
        </w:rPr>
        <w:t xml:space="preserve"> generis </w:t>
      </w:r>
      <w:r>
        <w:rPr>
          <w:rFonts w:ascii="Times New Roman" w:hAnsi="Times New Roman" w:cs="Times New Roman"/>
          <w:i/>
          <w:iCs/>
          <w:color w:val="000000"/>
        </w:rPr>
        <w:t>– Natural meaning – Whether the term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“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registered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” should be construed narrowly.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Tax – Foreign corporation – Management fees withholding tax – Resident company –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Exemption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payment – Whether the Respondent was a resident company for the purposes of paying withholding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tax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Income Tax Act No 33 of 1974, sections 2(1), (2)(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) and 34(1).</w:t>
      </w:r>
    </w:p>
    <w:p w:rsidR="00172275" w:rsidRDefault="00172275" w:rsidP="0017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07033" w:rsidRDefault="00172275" w:rsidP="0060703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15 May 1997 MacArthur and Baker International (</w:t>
      </w:r>
      <w:proofErr w:type="spellStart"/>
      <w:r>
        <w:rPr>
          <w:rFonts w:ascii="Times New Roman" w:hAnsi="Times New Roman" w:cs="Times New Roman"/>
          <w:color w:val="000000"/>
        </w:rPr>
        <w:t>Inc</w:t>
      </w:r>
      <w:proofErr w:type="spellEnd"/>
      <w:r>
        <w:rPr>
          <w:rFonts w:ascii="Times New Roman" w:hAnsi="Times New Roman" w:cs="Times New Roman"/>
          <w:color w:val="000000"/>
        </w:rPr>
        <w:t>) (“MBI”) concluded a debt collection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with the then National Bank of Commerce. At that time, MBI, a Delaware, USA-incorporated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607033">
        <w:rPr>
          <w:rFonts w:ascii="Times New Roman" w:hAnsi="Times New Roman" w:cs="Times New Roman"/>
          <w:color w:val="000000"/>
        </w:rPr>
        <w:t>Company</w:t>
      </w:r>
      <w:r>
        <w:rPr>
          <w:rFonts w:ascii="Times New Roman" w:hAnsi="Times New Roman" w:cs="Times New Roman"/>
          <w:color w:val="000000"/>
        </w:rPr>
        <w:t>, was not yet registered in Tanzania. Registration was subsequently effected on 25 August 1997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sections 320A and 321 of the Companies Ordinance. On 31 May 1997, National Bank of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Commerce wired a sum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147 865 625 to MBI, pursuant to the contract terms, without paying any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fees withholding tax on it to the Tanzanian authorities. Upon learning of this, the Income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 Commissioner, purportedly acting under section 34(1) of the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 Tax Act, recovered the tax on this sum from National Bank of Commerce and on five further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payments to MBI effected between 2 October 1997 and 19 May 1998. MBI sought redress from the High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in the form of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quashing the decisions of the Appellants. The application was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granted. The Appellants now appealed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trial Judge erred in finding that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compliance with sections 320A and 321 of the Companies Ordinance amounted to the registration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by section 2(2)(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of the Income Tax Act, and in finding that MBI was a resident company.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MBI contended that the word “registered” in the Income Tax Act should not be construed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ejusdem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generis </w:t>
      </w:r>
      <w:r>
        <w:rPr>
          <w:rFonts w:ascii="Times New Roman" w:hAnsi="Times New Roman" w:cs="Times New Roman"/>
          <w:color w:val="000000"/>
        </w:rPr>
        <w:t>rule with the words “incorporated” and “established”, as suggested by the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Appellants. Rather it had to be construed literally with the effect that, in this context, the certificate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to MBI under sections 320A and 321 conferred upon it the status of residence.</w:t>
      </w:r>
      <w:r w:rsidR="00607033">
        <w:rPr>
          <w:rFonts w:ascii="Times New Roman" w:hAnsi="Times New Roman" w:cs="Times New Roman"/>
          <w:color w:val="000000"/>
        </w:rPr>
        <w:t xml:space="preserve"> </w:t>
      </w:r>
    </w:p>
    <w:p w:rsidR="003F18BF" w:rsidRDefault="00172275" w:rsidP="00607033">
      <w:pPr>
        <w:jc w:val="both"/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Tax provisions were to be interpreted strictly and, in construing a taxing Act, one had to look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merely at what was clearly stated. Applying this principle to sections 2(1) and 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), the word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“registered” had to be given its natural meaning and in this instance registration under sections 14 and 15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Companies Ordinance was not contemplated. Registration under sections 320A and 321 was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to confer resident status on MBI.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registration did not take place until 25 August 1997, MBI was not a registered company at the time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first payment by National Bank of Commerce and it was, therefore, liable to pay management fees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withholding tax on the first sum it received.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34(1) of the Income Tax Act clearly imposed an obligation to pay tax at the time of payment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“any amount to any non-resident” and it was therefore incorrect to argue, as counsel for MBI did, that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foreign company subsequently had itself registered, it was liable to pay only corporation tax.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would be allowed in part and the Appellants would therefore have to refund the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collections made in respect of all payments save the first.</w:t>
      </w:r>
      <w:r w:rsidR="006070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75"/>
    <w:rsid w:val="00172275"/>
    <w:rsid w:val="003F18BF"/>
    <w:rsid w:val="0060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54018-08D4-4493-997D-13386FCE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2018-07-05T11:21:00Z</dcterms:created>
  <dcterms:modified xsi:type="dcterms:W3CDTF">2018-07-12T08:10:00Z</dcterms:modified>
</cp:coreProperties>
</file>