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Commissioner-General v MacArthur and</w:t>
      </w:r>
      <w:r w:rsidR="00C477B8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Baker International (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Inc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)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December 2000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42/99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Makame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Kisanga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L J S </w:t>
      </w:r>
      <w:proofErr w:type="spellStart"/>
      <w:r>
        <w:rPr>
          <w:rFonts w:ascii="Times New Roman" w:hAnsi="Times New Roman" w:cs="Times New Roman"/>
          <w:color w:val="000000"/>
        </w:rPr>
        <w:t>Mwandambo</w:t>
      </w:r>
      <w:proofErr w:type="spellEnd"/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Companies – Resident company – Registration – Effect of registration – Whether a foreign company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sections 320A and 321 was entitled to resident status – Companies Ordinance (Chapter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212), sections 14, 15, 320A and 321.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Statutes – Construction – “Registered” – </w:t>
      </w:r>
      <w:proofErr w:type="spellStart"/>
      <w:r>
        <w:rPr>
          <w:rFonts w:ascii="Times New Roman" w:hAnsi="Times New Roman" w:cs="Times New Roman"/>
          <w:color w:val="000000"/>
        </w:rPr>
        <w:t>Ejusdem</w:t>
      </w:r>
      <w:proofErr w:type="spellEnd"/>
      <w:r>
        <w:rPr>
          <w:rFonts w:ascii="Times New Roman" w:hAnsi="Times New Roman" w:cs="Times New Roman"/>
          <w:color w:val="000000"/>
        </w:rPr>
        <w:t xml:space="preserve"> generis </w:t>
      </w:r>
      <w:r>
        <w:rPr>
          <w:rFonts w:ascii="Times New Roman" w:hAnsi="Times New Roman" w:cs="Times New Roman"/>
          <w:i/>
          <w:iCs/>
          <w:color w:val="000000"/>
        </w:rPr>
        <w:t>– Natural meaning – Whether the term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“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” should be construed narrowly.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Tax – Foreign corporation – Management fees withholding tax – Resident company –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Exemption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payment – Whether the Respondent was a resident company for the purposes of paying withholding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tax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Income Tax Act No 33 of 1974, sections 2(1), (2)(</w:t>
      </w:r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)(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) and 34(1).</w:t>
      </w:r>
    </w:p>
    <w:p w:rsidR="006D7ECE" w:rsidRDefault="00C477B8" w:rsidP="00C477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477B8" w:rsidRDefault="006D7ECE" w:rsidP="00C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KISANGA JA: </w:t>
      </w:r>
      <w:r>
        <w:rPr>
          <w:rFonts w:ascii="Times New Roman" w:hAnsi="Times New Roman" w:cs="Times New Roman"/>
          <w:color w:val="000000"/>
        </w:rPr>
        <w:t>This appeal arises from the decision of the High Court (</w:t>
      </w:r>
      <w:proofErr w:type="spellStart"/>
      <w:r>
        <w:rPr>
          <w:rFonts w:ascii="Times New Roman" w:hAnsi="Times New Roman" w:cs="Times New Roman"/>
          <w:color w:val="000000"/>
        </w:rPr>
        <w:t>Mapigano</w:t>
      </w:r>
      <w:proofErr w:type="spellEnd"/>
      <w:r>
        <w:rPr>
          <w:rFonts w:ascii="Times New Roman" w:hAnsi="Times New Roman" w:cs="Times New Roman"/>
          <w:color w:val="000000"/>
        </w:rPr>
        <w:t xml:space="preserve"> J) granting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 w:rsidR="00C477B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Respondent. Most of the facts are not in dispute. MacArthur and Baker International (</w:t>
      </w:r>
      <w:proofErr w:type="spellStart"/>
      <w:r>
        <w:rPr>
          <w:rFonts w:ascii="Times New Roman" w:hAnsi="Times New Roman" w:cs="Times New Roman"/>
          <w:color w:val="000000"/>
        </w:rPr>
        <w:t>Inc</w:t>
      </w:r>
      <w:proofErr w:type="spellEnd"/>
      <w:r>
        <w:rPr>
          <w:rFonts w:ascii="Times New Roman" w:hAnsi="Times New Roman" w:cs="Times New Roman"/>
          <w:color w:val="000000"/>
        </w:rPr>
        <w:t>),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hereinafter referred to as the Respondent </w:t>
      </w:r>
      <w:proofErr w:type="gramStart"/>
      <w:r>
        <w:rPr>
          <w:rFonts w:ascii="Times New Roman" w:hAnsi="Times New Roman" w:cs="Times New Roman"/>
          <w:color w:val="000000"/>
        </w:rPr>
        <w:t>company</w:t>
      </w:r>
      <w:proofErr w:type="gramEnd"/>
      <w:r>
        <w:rPr>
          <w:rFonts w:ascii="Times New Roman" w:hAnsi="Times New Roman" w:cs="Times New Roman"/>
          <w:color w:val="000000"/>
        </w:rPr>
        <w:t xml:space="preserve"> or MBI, concluded a debt collection agreement with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then National Bank of Commerce on 15 May 1997. At the time of concluding the contract MBI, a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foreign company incorporated in Delaware, the United States of America (USA), was not yet registered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Tanzania; it was registered only subsequently under sections 320A and 321 of the Companies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Ordinance (Chapter 212). The registration was done within the first year of income, but rather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surprisingly such registration was effected on 25 August 1997 before the registration fees were paid on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 August 1997 and, indeed, before the documents submitted for the purposes of the registration were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approved by the registrar on 2 September 1997.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terms of the contract was that the fees payable to MBI for the services rendered to National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of Commerce were to be wired direct to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USA and the first instalment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147 865 625 paid to MBI on 31 May 1997 was so wired without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payment of any management fees withholding tax on it. On discovering this the Commissioner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Income Tax (Second Respondent) served on the National Bank of Commerce notice, and later recovered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it deductions, for management fees withholding tax. The Commissioner acted under section 34(1)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Income Tax Act 1973 (hereinafter called the Act). Under the Act such tax is payable by a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which is not resident and which has no permanent establishment in the United Republic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Tanzania. Acting under that same provision of the Act the Commissioner recovered from National Bank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Commerce withholding tax in respect of a further five instalments paid to MBI starting from 2 October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1997 and ending on 19 May 1998.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MBI was aggrieved and sought redress by applying to the High Court for prerogative orders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and prohibition. The High Court granted the application but the Commissioner was aggrieved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this appeal.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us the Appellants were advocated for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H 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while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Mapunda</w:t>
      </w:r>
      <w:proofErr w:type="spellEnd"/>
      <w:r w:rsidR="00C477B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appeared for the Respondent. The Appellants filed a memorandum of appeal containing the following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grounds: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by not taking into account that Respondent compliance with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320A and 321 of the Companies Ordinance Chapter 212 does not amount to registration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envisage under section 2(2)(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of the Income Tax Act 33 of 1973.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and in fact by not taking into account that at the time of signing the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Debt Collection Agreement with National Bank of Commerce and at the period of receiving first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instalment which is chargeable to tax the Respondent was not registered under the Companies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Ordinance and its subsequent registration does not make it a resident company in terms of section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2(2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of the Income Tax Act 33 of 1973.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That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by holding that the Respondent is a resident company and not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liable to pay withholding tax on management fees in terms of section 34(1) of the Income Tax Act 33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1973.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by granting application without stating reliefs which the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is entitled in the application”.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shall consider grounds 1 and 3 together which essentially raise the question whether or not MBI was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resident company for the purpose of paying withholding tax. This question was raised and argued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Judge who ruled that the company was resident and, therefore, not liable to pay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withholding tax.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now seeking to fault that finding. Section 2(2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of the Act provides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that: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For the purposes of this Act a person shall be deemed to be a resident in relation to any year of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income: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 the case of a corporation.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corporation was incorporated, established or registered under any Act or Ordinance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any law of Zanzibar; . . .”</w:t>
      </w:r>
      <w:r w:rsidR="00C477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a corporation is defined under section 2(1) as: “any company or other body corporate established,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incorporated, registered by or under any law in force in the United Republic or elsewhere”.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registration under sections 320A and 321 of Chapter 212 did not confer on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MBI the status of residence within the meaning of subsection 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quoted above. Such registration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led to the issuing of a certificate of compliance merely entitled MBI to conduct business in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strenuously contended that the word “registered” in subsection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is to be construed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 w:rsidR="00C477B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generis </w:t>
      </w:r>
      <w:r>
        <w:rPr>
          <w:rFonts w:ascii="Times New Roman" w:hAnsi="Times New Roman" w:cs="Times New Roman"/>
          <w:color w:val="000000"/>
        </w:rPr>
        <w:t>with the words “incorporated” and “establishment” to mean the creation of a corporate body. So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order to confer the status of residence, MBI ought to have been incorporated under sections 14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15 of Chapter 212. As this was not done, counsel concluded, MBI was not resident and, therefore,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liable to pay withholding tax.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Responding to this,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submitted, in effect, that registration under sections 320A and 321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212 conferred the status of residence on MBI. The term “registered” in subsection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Act is to be construed literally. When this is so construed and read together with sections 320A and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321 of Chapter 212 the effect of it in the context of the present case is that the certificate of compliance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to MBI under sections 320A and 321 amounted to registration conferring on the company the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status of residence within subsection 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). Residence conferred under this subsection is </w:t>
      </w:r>
      <w:r>
        <w:rPr>
          <w:rFonts w:ascii="Times New Roman" w:hAnsi="Times New Roman" w:cs="Times New Roman"/>
          <w:i/>
          <w:iCs/>
          <w:color w:val="000000"/>
        </w:rPr>
        <w:t>de jure</w:t>
      </w:r>
      <w:r w:rsidR="00C477B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residence which has relevance to foreign companies only.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took the view that registration under subsection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does not envisage or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 registration under section 14 and 15 of Chapter 212. And to underscore this point he drew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attention to the recent amendment in subsection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which now requires that a company in order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resident must be incorporated under a law of the United Republic. The law was so amended only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dispute in this case arose. This, counsel submitted, means that there was a mischief or lacuna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not contemplated or envisaged at the time of enacting the subsection originally but which was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noticed later and steps were promptly taken to remedy it. Counsel, therefore, concluded that MBI, having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duly registered in the United Republic, was a resident company which was not liable under section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34(1) of the Act to pay withholding tax. That was the summary of counsel submissions for both sides.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Today the law is clear that tax provisions must be interpreted strictly, and that in a taxing Act one has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look merely at what is clearly stated. In line with that approach we are inclined to the view that the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 “registered” as used in section 2(1) and (2)(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of the Act must be given its natural meaning, and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can see nothing to justify departure from that rule. We reject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Songoro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of construing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 “registered” in subsection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ejusdem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generis </w:t>
      </w:r>
      <w:r>
        <w:rPr>
          <w:rFonts w:ascii="Times New Roman" w:hAnsi="Times New Roman" w:cs="Times New Roman"/>
          <w:color w:val="000000"/>
        </w:rPr>
        <w:t>with the words “incorporated” and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“established’. In our opinion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 is to be preferred that registration in the context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2(1) and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of the Act does not contemplate or envisage registration under sections 14 and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of Chapter 212. We go along with the view that while subsection 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in its original form did not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 registration under sections 14 and 15 of Chapter 212, subsequently, and in the wake of the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 case, it was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or discovered that this left room for tax evasion, and that upon such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discovery appropriate steps were taken promptly to remedy the situation by re-enacting the subsection in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amended form. This is well demonstrated by the fact that this dispute which started in July–August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1997 was referred to court on 5 June 1998 and hardly a week later </w:t>
      </w:r>
      <w:r w:rsidR="00C477B8">
        <w:rPr>
          <w:rFonts w:ascii="Times New Roman" w:hAnsi="Times New Roman" w:cs="Times New Roman"/>
          <w:color w:val="000000"/>
        </w:rPr>
        <w:t>was the Bill to amend the law on the subject</w:t>
      </w:r>
      <w:r>
        <w:rPr>
          <w:rFonts w:ascii="Times New Roman" w:hAnsi="Times New Roman" w:cs="Times New Roman"/>
          <w:color w:val="000000"/>
        </w:rPr>
        <w:t xml:space="preserve"> published in the Official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dated 11 June 1998.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the trial Judge, therefore, we hold that registration under sections 320A and 321 of Chapter 212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conferred the status of residence on MBI. Accordingly grounds 1 and 3 of the memorandum of appeal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ground 2 the trial Judge is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for failing to take into account that MBI was not registered at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of concluding the debt collecting agreement with National Bank of Commerce or at the time of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receiving the first instalment of its fees. We think this complaint is justified insofar as it relates to the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instalment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147 865 625. It is common ground that when this money was paid to MBI on 31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1997, the company was not yet registered under any Act or Ordinance or under any law of Zanzibar.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company was registered only subsequently under sections 320A and 321 of Chapter 212 on 2 May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1997. It is plain that for as long as MBI was not registered under any Act or Ordinance or under any law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Zanzibar, it could not claim exemption from paying withholding tax in respect of the first instalment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ground </w:t>
      </w:r>
      <w:r>
        <w:rPr>
          <w:rFonts w:ascii="Times New Roman" w:hAnsi="Times New Roman" w:cs="Times New Roman"/>
          <w:color w:val="000000"/>
        </w:rPr>
        <w:lastRenderedPageBreak/>
        <w:t>of being a resident company. And since the company’s claim of exemption from paying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withholding tax is based on the ground of residence alone, that claim must fail. Thus we hold that MBI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a resident company at the time it received the first instalment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147 865 625. As such it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liable under section 4(1) of the Act to pay management fees withholding tax on that sum.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once MBI registered in Tanzania within the year of income, it was then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liable to pay only corporation tax for that year of income and not withholding tax. Registration at any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during the year of income, counsel maintained, made the company resident for the whole of that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 of income and so it was immaterial that the instalment in question was paid to MBI before the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registration. We cannot accede to this argument. Section 34(1) of the Act insofar as it is relevant to the</w:t>
      </w:r>
      <w:r w:rsidR="00C477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of this case says that:</w:t>
      </w:r>
    </w:p>
    <w:p w:rsidR="006D7ECE" w:rsidRDefault="00C477B8" w:rsidP="00C477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  <w:sz w:val="20"/>
          <w:szCs w:val="20"/>
        </w:rPr>
        <w:t>“34(1) Every person shall, upon payment of any amount to any non-resident person . . . in respect of: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6D7ECE"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 w:rsidR="006D7ECE"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 w:rsidR="006D7ECE"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 w:rsidR="006D7ECE"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 w:rsidR="006D7ECE">
        <w:rPr>
          <w:rFonts w:ascii="Times New Roman" w:hAnsi="Times New Roman" w:cs="Times New Roman"/>
          <w:color w:val="000000"/>
          <w:sz w:val="20"/>
          <w:szCs w:val="20"/>
        </w:rPr>
        <w:t xml:space="preserve"> management;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7ECE">
        <w:rPr>
          <w:rFonts w:ascii="Times New Roman" w:hAnsi="Times New Roman" w:cs="Times New Roman"/>
          <w:color w:val="000000"/>
          <w:sz w:val="20"/>
          <w:szCs w:val="20"/>
        </w:rPr>
        <w:t>which is chargeable to tax, deduct therefrom tax at the appropriate non-resident withholding tax rate”.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The provision clearly imposes the obligation to deduct withholding tax in respect of management fees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paid to a non-resident person. The question is, at what time is the deduction to be made? In this regard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the operative words of the subsection are “upon payment of any amount”, and our understanding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provision is that the obligation to make the deduction, which is mandatory, attaches at the time of making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 xml:space="preserve">the payment. We could see no room for </w:t>
      </w:r>
      <w:proofErr w:type="spellStart"/>
      <w:r w:rsidR="006D7ECE">
        <w:rPr>
          <w:rFonts w:ascii="Times New Roman" w:hAnsi="Times New Roman" w:cs="Times New Roman"/>
          <w:color w:val="000000"/>
        </w:rPr>
        <w:t>Mr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D7ECE">
        <w:rPr>
          <w:rFonts w:ascii="Times New Roman" w:hAnsi="Times New Roman" w:cs="Times New Roman"/>
          <w:i/>
          <w:iCs/>
          <w:color w:val="000000"/>
        </w:rPr>
        <w:t>Kibuta</w:t>
      </w:r>
      <w:r w:rsidR="006D7ECE">
        <w:rPr>
          <w:rFonts w:ascii="Times New Roman" w:hAnsi="Times New Roman" w:cs="Times New Roman"/>
          <w:color w:val="000000"/>
        </w:rPr>
        <w:t>’s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submission that where, as in this case, payment is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made to a foreign company which registers subsequently then the company is liable to pay corporation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tax only. Such interpretation, in our opinion, could easily open to tax evasions by unscrupulous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companies which after being paid might run away without registering. In the instant case, for example, if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 xml:space="preserve">MBI, after being paid on 31 May 1997 decided to run away before registering on 25 August 1997, </w:t>
      </w:r>
      <w:proofErr w:type="spellStart"/>
      <w:r w:rsidR="006D7ECE"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D7ECE">
        <w:rPr>
          <w:rFonts w:ascii="Times New Roman" w:hAnsi="Times New Roman" w:cs="Times New Roman"/>
          <w:i/>
          <w:iCs/>
          <w:color w:val="000000"/>
        </w:rPr>
        <w:t>Kibuta</w:t>
      </w:r>
      <w:proofErr w:type="spellEnd"/>
      <w:r w:rsidR="006D7ECE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did not indicate how the corporation tax could be recovered from it. We therefore hold that MBI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 xml:space="preserve">was liable to pay withholding tax on the first instalment of </w:t>
      </w:r>
      <w:proofErr w:type="spellStart"/>
      <w:r w:rsidR="006D7ECE">
        <w:rPr>
          <w:rFonts w:ascii="Times New Roman" w:hAnsi="Times New Roman" w:cs="Times New Roman"/>
          <w:color w:val="000000"/>
        </w:rPr>
        <w:t>TShs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147 865 625 management fees paid to it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on 31 May 1997 when it was unregistered and hence non-resident in the country.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The complaint in the last ground of appeal is that the trial court erred in granting the application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without stating the reliefs to which the Respondent was entitled. We find little or no merit in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 xml:space="preserve">complaint. Before the trial court was an application for </w:t>
      </w:r>
      <w:r w:rsidR="006D7ECE">
        <w:rPr>
          <w:rFonts w:ascii="Times New Roman" w:hAnsi="Times New Roman" w:cs="Times New Roman"/>
          <w:i/>
          <w:iCs/>
          <w:color w:val="000000"/>
        </w:rPr>
        <w:t xml:space="preserve">certiorari </w:t>
      </w:r>
      <w:r w:rsidR="006D7ECE">
        <w:rPr>
          <w:rFonts w:ascii="Times New Roman" w:hAnsi="Times New Roman" w:cs="Times New Roman"/>
          <w:color w:val="000000"/>
        </w:rPr>
        <w:t>to remove to the High Court and quash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the unlawful tax demands for the specific sum of money and the unlawful collection of that sum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Commissioner of Income Tax. It is quite apparent to us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that by granting that application the trial court was saying that the demand for and the collection of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sum by the Commissioner were, in fact, unlawful. Following that, in our view, the next obvious step was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for the Commissioner to refund the said sum of money so unlawfully demanded and collected. We do not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see any difficulty in that. Indeed if the Appellants were at all in doubt we think that this was a matter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which could have easily been clarified by the trial court.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In the light of our own finding, however, the decision of the High Court has to be varied slightly. As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we have amply demonstrated, the Commissioner’s demand for and collection of withholding tax were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 xml:space="preserve">lawful only in respect of the first instalment of </w:t>
      </w:r>
      <w:proofErr w:type="spellStart"/>
      <w:r w:rsidR="006D7ECE">
        <w:rPr>
          <w:rFonts w:ascii="Times New Roman" w:hAnsi="Times New Roman" w:cs="Times New Roman"/>
          <w:color w:val="000000"/>
        </w:rPr>
        <w:t>TShs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147 865 625 management fees paid to MBI on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31 May 1997 before the company was registered in the United Republic and became resident. All the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other collections, however, were unlawful because they relate to instalments of management fees paid to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the company after the company was duly registered in the country and became resident. Such unlawful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collections, therefore, must be refunded.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Save to this limited extent, the appeal fails and it is dismissed with costs.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(</w:t>
      </w:r>
      <w:proofErr w:type="spellStart"/>
      <w:r w:rsidR="006D7ECE">
        <w:rPr>
          <w:rFonts w:ascii="Times New Roman" w:hAnsi="Times New Roman" w:cs="Times New Roman"/>
          <w:color w:val="000000"/>
        </w:rPr>
        <w:t>Makame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6D7ECE">
        <w:rPr>
          <w:rFonts w:ascii="Times New Roman" w:hAnsi="Times New Roman" w:cs="Times New Roman"/>
          <w:color w:val="000000"/>
        </w:rPr>
        <w:t>Lugakingire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 w:rsidR="006D7ECE">
        <w:rPr>
          <w:rFonts w:ascii="Times New Roman" w:hAnsi="Times New Roman" w:cs="Times New Roman"/>
          <w:color w:val="000000"/>
        </w:rPr>
        <w:t>Kisanga</w:t>
      </w:r>
      <w:proofErr w:type="spellEnd"/>
      <w:r w:rsidR="006D7ECE">
        <w:rPr>
          <w:rFonts w:ascii="Times New Roman" w:hAnsi="Times New Roman" w:cs="Times New Roman"/>
          <w:color w:val="000000"/>
        </w:rPr>
        <w:t xml:space="preserve"> JA.)</w:t>
      </w:r>
      <w:r>
        <w:rPr>
          <w:rFonts w:ascii="Times New Roman" w:hAnsi="Times New Roman" w:cs="Times New Roman"/>
          <w:color w:val="000000"/>
        </w:rPr>
        <w:t xml:space="preserve"> </w:t>
      </w:r>
      <w:r w:rsidR="006D7ECE">
        <w:rPr>
          <w:rFonts w:ascii="Times New Roman" w:hAnsi="Times New Roman" w:cs="Times New Roman"/>
          <w:color w:val="000000"/>
        </w:rPr>
        <w:t>For the Appellants: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 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Songoro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the </w:t>
      </w:r>
      <w:r>
        <w:rPr>
          <w:rFonts w:ascii="Times New Roman" w:hAnsi="Times New Roman" w:cs="Times New Roman"/>
          <w:i/>
          <w:iCs/>
          <w:color w:val="000000"/>
        </w:rPr>
        <w:t>Attorney-General</w:t>
      </w:r>
    </w:p>
    <w:p w:rsidR="006D7ECE" w:rsidRDefault="006D7ECE" w:rsidP="006D7E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6D7ECE" w:rsidP="006D7ECE">
      <w:proofErr w:type="spellStart"/>
      <w:r>
        <w:rPr>
          <w:rFonts w:ascii="Times New Roman" w:hAnsi="Times New Roman" w:cs="Times New Roman"/>
          <w:i/>
          <w:iCs/>
          <w:color w:val="000000"/>
        </w:rPr>
        <w:t>Dr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Mapunda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andKibuta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>F K Law Chambers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CE"/>
    <w:rsid w:val="003F18BF"/>
    <w:rsid w:val="006D7ECE"/>
    <w:rsid w:val="00C4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44283-7BD8-45B2-8700-321BDB37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2018-07-05T11:23:00Z</dcterms:created>
  <dcterms:modified xsi:type="dcterms:W3CDTF">2018-07-12T08:11:00Z</dcterms:modified>
</cp:coreProperties>
</file>