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Crown Beverages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Sendu</w:t>
      </w:r>
      <w:proofErr w:type="spellEnd"/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March 2006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1/05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</w:rPr>
        <w:t>Kaneihamba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General damages – Award of general damages a matter of discretion for the court –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Principles to be applied in determining quantum of general damages – Whether the courts below had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principles properly.</w:t>
      </w:r>
    </w:p>
    <w:p w:rsidR="001E3394" w:rsidRDefault="00C763DC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E3394">
        <w:rPr>
          <w:rFonts w:ascii="Times New Roman" w:hAnsi="Times New Roman" w:cs="Times New Roman"/>
          <w:i/>
          <w:iCs/>
          <w:color w:val="000000"/>
        </w:rPr>
        <w:t>[2] Negligence – Impurities in soda bottle – Respondent becoming ill as a result of drinking soda –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appellants were negligent in bottling the soda.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763DC" w:rsidRDefault="001E3394" w:rsidP="00C7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herein (plaintiff below) had bought a bottle of </w:t>
      </w:r>
      <w:proofErr w:type="spellStart"/>
      <w:r>
        <w:rPr>
          <w:rFonts w:ascii="Times New Roman" w:hAnsi="Times New Roman" w:cs="Times New Roman"/>
          <w:color w:val="000000"/>
        </w:rPr>
        <w:t>Mirinda</w:t>
      </w:r>
      <w:proofErr w:type="spellEnd"/>
      <w:r>
        <w:rPr>
          <w:rFonts w:ascii="Times New Roman" w:hAnsi="Times New Roman" w:cs="Times New Roman"/>
          <w:color w:val="000000"/>
        </w:rPr>
        <w:t xml:space="preserve"> fruity soft drink at a retailer’s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shop. As he drank the drink, he felt some small stones on his tongue. Upon looking at the bottle, 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noticed some impurities in it. He also noticed some impurities in a second bottle of </w:t>
      </w:r>
      <w:proofErr w:type="spellStart"/>
      <w:r>
        <w:rPr>
          <w:rFonts w:ascii="Times New Roman" w:hAnsi="Times New Roman" w:cs="Times New Roman"/>
          <w:color w:val="000000"/>
        </w:rPr>
        <w:t>Mirinda</w:t>
      </w:r>
      <w:proofErr w:type="spellEnd"/>
      <w:r>
        <w:rPr>
          <w:rFonts w:ascii="Times New Roman" w:hAnsi="Times New Roman" w:cs="Times New Roman"/>
          <w:color w:val="000000"/>
        </w:rPr>
        <w:t xml:space="preserve"> Lemon being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at the shop. He paid for both bottles and took them to the LCI Chairman who advised him to take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 to the Government Chemist. The Chemist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them and found some suspended substances in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bottles which made them unsafe for human consumption.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returning home, the respondent became ill and went to see his doctor who prescribed treatment.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doctor also referred him to a specialist urologist after he complained about his diminishing sexual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prowess and shrinking manhood. Due to lack of funds he neither completed the treatment prescribed by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doctor nor did he consult the urologist.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thereafter sued the appellant seeking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general damages in negligence for breach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duty and the resulting injuries. The appellant denied the allegations in the plaint and contended that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adhered to strict quality control standards in their factory and were not responsible for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adulteration of the drinks.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dismissed the suit on the ground that the respondent had failed to prove that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breached the duty of care owed to him. On appeal, the Court of Appeal allowed the appeal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awarded the respondent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in general damages together with one third of the costs.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now appealed to the Supreme Court on the grounds that the Justices of Appeal had erred in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damages in respect of a head that had not been claimed. In the alternative, they argued that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were excessive in the circumstances. Counsel for the appellant contended,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had not stated any principle in support of the award they made. In reply, counsel for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submitted that the award was not excessive.</w:t>
      </w:r>
      <w:r w:rsidR="00C763DC">
        <w:rPr>
          <w:rFonts w:ascii="Times New Roman" w:hAnsi="Times New Roman" w:cs="Times New Roman"/>
          <w:color w:val="000000"/>
        </w:rPr>
        <w:t xml:space="preserve"> </w:t>
      </w:r>
    </w:p>
    <w:p w:rsidR="00C763DC" w:rsidRDefault="00C763DC" w:rsidP="00C7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E3394" w:rsidRDefault="001E3394" w:rsidP="00C7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An appellate court will not interfere with the award of damages by a trial court unless the court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upon wrong principles of law or the amount awarded was so large or so low as to make it an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entirely erroneous estimate of the damages to which the plaintiff was entitled; </w:t>
      </w: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Coussens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C763D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 General </w:t>
      </w:r>
      <w:r>
        <w:rPr>
          <w:rFonts w:ascii="Times New Roman" w:hAnsi="Times New Roman" w:cs="Times New Roman"/>
          <w:color w:val="000000"/>
        </w:rPr>
        <w:t>considered and followed. It was trite law that the amount of general damages which a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would be awarded was a matter of discretion for the court. In this instance, the court was entitled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interfere with the award of damages on the ground that the respondent had erred in praying for a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sum as though his claim was a claim for special damages. It was also entitled to interfere on the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there had also been no expert evidence to prove that the disability was likely to result in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permanent impotence.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view of the evidence,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was so high as to be an entirely erroneous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estimate of the damages to which the respondent was entitled.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awarded would be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with one third of the costs.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45 of [2006] 2 EA 43 (SCU)</w:t>
      </w:r>
      <w:r w:rsidR="00C763DC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  <w:r w:rsidR="00C763DC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  <w:r w:rsidR="00C763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Sugar Corporation of Uganda and another </w:t>
      </w:r>
      <w:r>
        <w:rPr>
          <w:rFonts w:ascii="Times New Roman" w:hAnsi="Times New Roman" w:cs="Times New Roman"/>
          <w:color w:val="000000"/>
        </w:rPr>
        <w:t>[2000] LLR 101 (SCU)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Mitford Bowker </w:t>
      </w:r>
      <w:r>
        <w:rPr>
          <w:rFonts w:ascii="Times New Roman" w:hAnsi="Times New Roman" w:cs="Times New Roman"/>
          <w:color w:val="000000"/>
        </w:rPr>
        <w:t>(1947) 14 EACA 20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Muljibhai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particular Anor </w:t>
      </w:r>
      <w:r>
        <w:rPr>
          <w:rFonts w:ascii="Times New Roman" w:hAnsi="Times New Roman" w:cs="Times New Roman"/>
          <w:color w:val="000000"/>
        </w:rPr>
        <w:t>(1944) EACA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Obonyo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Municipal Council of Kisumu </w:t>
      </w:r>
      <w:r>
        <w:rPr>
          <w:rFonts w:ascii="Times New Roman" w:hAnsi="Times New Roman" w:cs="Times New Roman"/>
          <w:color w:val="000000"/>
        </w:rPr>
        <w:t>[1971] EA 91 of 1996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Coussens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General </w:t>
      </w:r>
      <w:r>
        <w:rPr>
          <w:rFonts w:ascii="Times New Roman" w:hAnsi="Times New Roman" w:cs="Times New Roman"/>
          <w:color w:val="000000"/>
        </w:rPr>
        <w:t xml:space="preserve">[1999] LLR 126 (SCU) – </w:t>
      </w:r>
      <w:r>
        <w:rPr>
          <w:rFonts w:ascii="Times New Roman" w:hAnsi="Times New Roman" w:cs="Times New Roman"/>
          <w:b/>
          <w:bCs/>
          <w:color w:val="000000"/>
        </w:rPr>
        <w:t xml:space="preserve">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E3394" w:rsidRDefault="001E3394" w:rsidP="001E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1E3394" w:rsidP="001E3394">
      <w:r>
        <w:rPr>
          <w:rFonts w:ascii="Times New Roman" w:hAnsi="Times New Roman" w:cs="Times New Roman"/>
          <w:i/>
          <w:iCs/>
          <w:color w:val="000000"/>
        </w:rPr>
        <w:t>Flint v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4"/>
    <w:rsid w:val="001E3394"/>
    <w:rsid w:val="00AB7022"/>
    <w:rsid w:val="00C7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202B4-EAF3-463C-A50E-1FD0CC2A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2018-07-05T06:02:00Z</dcterms:created>
  <dcterms:modified xsi:type="dcterms:W3CDTF">2018-07-12T08:14:00Z</dcterms:modified>
</cp:coreProperties>
</file>