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Crown Beverages Limited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Sendu</w:t>
      </w:r>
      <w:proofErr w:type="spellEnd"/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15 March 2006</w:t>
      </w:r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1/05</w:t>
      </w:r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and </w:t>
      </w:r>
      <w:proofErr w:type="spellStart"/>
      <w:r>
        <w:rPr>
          <w:rFonts w:ascii="Times New Roman" w:hAnsi="Times New Roman" w:cs="Times New Roman"/>
          <w:color w:val="000000"/>
        </w:rPr>
        <w:t>Kaneihamba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</w:t>
      </w:r>
      <w:proofErr w:type="spellStart"/>
      <w:r>
        <w:rPr>
          <w:rFonts w:ascii="Times New Roman" w:hAnsi="Times New Roman" w:cs="Times New Roman"/>
          <w:color w:val="000000"/>
        </w:rPr>
        <w:t>Kibet</w:t>
      </w:r>
      <w:proofErr w:type="spellEnd"/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General damages – Award of general damages a matter of discretion for the court –</w:t>
      </w:r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Principles to be applied in determining quantum of general damages – Whether the courts below had</w:t>
      </w:r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applied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principles properly.</w:t>
      </w:r>
    </w:p>
    <w:p w:rsidR="00864D8E" w:rsidRDefault="00132A6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864D8E">
        <w:rPr>
          <w:rFonts w:ascii="Times New Roman" w:hAnsi="Times New Roman" w:cs="Times New Roman"/>
          <w:i/>
          <w:iCs/>
          <w:color w:val="000000"/>
        </w:rPr>
        <w:t>[2] Negligence – Impurities in soda bottle – Respondent becoming ill as a result of drinking soda –</w:t>
      </w:r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appellants were negligent in bottling the soda.</w:t>
      </w:r>
    </w:p>
    <w:p w:rsidR="00864D8E" w:rsidRDefault="00132A6E" w:rsidP="00132A6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864D8E" w:rsidRDefault="00864D8E" w:rsidP="00132A6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 JSC: </w:t>
      </w:r>
      <w:r>
        <w:rPr>
          <w:rFonts w:ascii="Times New Roman" w:hAnsi="Times New Roman" w:cs="Times New Roman"/>
          <w:color w:val="000000"/>
        </w:rPr>
        <w:t>This is a second appeal against the decision of the Court of Appeal allowing the respondent’s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against the judgment of the High Court, which had dismissed the respondent’s suit.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background facts were that the respondent bought a bottle of Miranda fruity soft-drink for him to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drink, from a retailer’s shop who opened it for him. As he galloped down the contents of the bottle, 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sensed some small stones on his tongue, and when he looked at the bottle, he noticed some dirt in it. As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complained to the seller, he saw another bottle of Miranda lemon on the rack, also containing some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dirt. After reluctantly paying for the drinks, he decided to take the bottles to the LCI Chairman, to whom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reported the matter. He was advised to take the bottles to the Government chemist, </w:t>
      </w:r>
      <w:proofErr w:type="spellStart"/>
      <w:r>
        <w:rPr>
          <w:rFonts w:ascii="Times New Roman" w:hAnsi="Times New Roman" w:cs="Times New Roman"/>
          <w:color w:val="000000"/>
        </w:rPr>
        <w:t>Nsubuga</w:t>
      </w:r>
      <w:proofErr w:type="spellEnd"/>
      <w:r>
        <w:rPr>
          <w:rFonts w:ascii="Times New Roman" w:hAnsi="Times New Roman" w:cs="Times New Roman"/>
          <w:color w:val="000000"/>
        </w:rPr>
        <w:t xml:space="preserve"> Emanuel,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PW5, who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 contents of the bottles and found some substance suspended therein, which was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unsafe for human consumption. He wrote a report, exhibit “P3”.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returning home, the respondent developed nausea, vomiting and diarrhea. He visited his doctor at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Busabala</w:t>
      </w:r>
      <w:proofErr w:type="spellEnd"/>
      <w:r>
        <w:rPr>
          <w:rFonts w:ascii="Times New Roman" w:hAnsi="Times New Roman" w:cs="Times New Roman"/>
          <w:color w:val="000000"/>
        </w:rPr>
        <w:t xml:space="preserve"> Clinic, </w:t>
      </w:r>
      <w:proofErr w:type="spellStart"/>
      <w:r>
        <w:rPr>
          <w:rFonts w:ascii="Times New Roman" w:hAnsi="Times New Roman" w:cs="Times New Roman"/>
          <w:color w:val="000000"/>
        </w:rPr>
        <w:t>Dr</w:t>
      </w:r>
      <w:proofErr w:type="spellEnd"/>
      <w:r>
        <w:rPr>
          <w:rFonts w:ascii="Times New Roman" w:hAnsi="Times New Roman" w:cs="Times New Roman"/>
          <w:color w:val="000000"/>
        </w:rPr>
        <w:t xml:space="preserve"> James </w:t>
      </w:r>
      <w:proofErr w:type="spellStart"/>
      <w:r>
        <w:rPr>
          <w:rFonts w:ascii="Times New Roman" w:hAnsi="Times New Roman" w:cs="Times New Roman"/>
          <w:color w:val="000000"/>
        </w:rPr>
        <w:t>Balongo</w:t>
      </w:r>
      <w:proofErr w:type="spellEnd"/>
      <w:r>
        <w:rPr>
          <w:rFonts w:ascii="Times New Roman" w:hAnsi="Times New Roman" w:cs="Times New Roman"/>
          <w:color w:val="000000"/>
        </w:rPr>
        <w:t>, (PW4), who prescribed treatment for him. The respondent, however,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did not complete the treatment due to lack of funds. PW4 referred him to a specialist </w:t>
      </w:r>
      <w:proofErr w:type="spellStart"/>
      <w:r>
        <w:rPr>
          <w:rFonts w:ascii="Times New Roman" w:hAnsi="Times New Roman" w:cs="Times New Roman"/>
          <w:color w:val="000000"/>
        </w:rPr>
        <w:t>nurologist</w:t>
      </w:r>
      <w:proofErr w:type="spellEnd"/>
      <w:r>
        <w:rPr>
          <w:rFonts w:ascii="Times New Roman" w:hAnsi="Times New Roman" w:cs="Times New Roman"/>
          <w:color w:val="000000"/>
        </w:rPr>
        <w:t xml:space="preserve"> after 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complained about his diminishing sexual prowess and shrinking manhood. He never consulted the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nurologist</w:t>
      </w:r>
      <w:proofErr w:type="spellEnd"/>
      <w:r>
        <w:rPr>
          <w:rFonts w:ascii="Times New Roman" w:hAnsi="Times New Roman" w:cs="Times New Roman"/>
          <w:color w:val="000000"/>
        </w:rPr>
        <w:t xml:space="preserve"> due to lack of funds. He decided to sue the appellant for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30 million as general damages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negligence for breach of duty and the resultant injuries he had suffered.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plaint the appellant claimed that: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“4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 w:cs="Times New Roman"/>
          <w:color w:val="000000"/>
          <w:sz w:val="20"/>
          <w:szCs w:val="20"/>
        </w:rPr>
        <w:t>) As a result of drinking the sodas, the plaintiff developed weaknesses in his genitals and his penis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started to shrink and is unable to erect, therefore likely to result into impotence (A photocopy of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Busabala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Nursing Home’s Comments are attached hereto and marked as Annexure “C”)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 w:cs="Times New Roman"/>
          <w:color w:val="000000"/>
          <w:sz w:val="20"/>
          <w:szCs w:val="20"/>
        </w:rPr>
        <w:t>) The plaintiff’s disability is stated to be above 60% according to annexure “B” and is likely to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become permanent thus denying our chart his natural right.”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Particulars of the appellant’s alleged negligence were stated in paragraphs 5 as: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Providing and bottling Miranda fruity and Miranda lemon with starchy substance suspended therein;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Failure to detect the said starchy substances;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Putting on the market the said sodas sealed with starchy substances;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Knowing that the said sodas would reach the plaintiff with no reasonable possibility of intermediate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examination;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(e) </w:t>
      </w:r>
      <w:r>
        <w:rPr>
          <w:rFonts w:ascii="Times New Roman" w:hAnsi="Times New Roman" w:cs="Times New Roman"/>
          <w:color w:val="000000"/>
          <w:sz w:val="20"/>
          <w:szCs w:val="20"/>
        </w:rPr>
        <w:t>Injuring the plaintiff’s life as shown by Annexure “B” causing him a 60% permanent disability thus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denying him enjoyment of his natural rights.”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Paragraph 7 of the plaint repeated the allegations in paragraphs 5.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denied the respondent’s allegations in the plaint, contending that in their factory, they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adhere to strict quality control standards set by the Uganda National Bureau of Standards and denied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responsibility for the adulteration of the drink consumed by the respondent.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 dismissed the suit, holding that the respondent had failed to prove that the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breached the duty of care owed to the respondent. The respondent appealed to the Court of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Appeal, which allowed the appeal and awarded the respondent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15 000 000 general damages with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1/3 of the costs in the Court of Appeal and in the trial court.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was dissatisfied with the Court of Appeal’s decision. It appealed to this Court on the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following grounds: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The learned Justices of Appeal erred in law and </w:t>
      </w:r>
      <w:proofErr w:type="spellStart"/>
      <w:r>
        <w:rPr>
          <w:rFonts w:ascii="Times New Roman" w:hAnsi="Times New Roman" w:cs="Times New Roman"/>
          <w:color w:val="000000"/>
        </w:rPr>
        <w:t>infact</w:t>
      </w:r>
      <w:proofErr w:type="spellEnd"/>
      <w:r>
        <w:rPr>
          <w:rFonts w:ascii="Times New Roman" w:hAnsi="Times New Roman" w:cs="Times New Roman"/>
          <w:color w:val="000000"/>
        </w:rPr>
        <w:t xml:space="preserve"> in: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( 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G ranting damages in respect of a head that had not been claimed.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In the alternative, the learned Justices of Appeal awarded damages that were excessive in the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Written submissions were filed in support of the appellant’s appeal.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 the hearing of the appeal, the appellant’s </w:t>
      </w:r>
      <w:proofErr w:type="gramStart"/>
      <w:r>
        <w:rPr>
          <w:rFonts w:ascii="Times New Roman" w:hAnsi="Times New Roman" w:cs="Times New Roman"/>
          <w:color w:val="000000"/>
        </w:rPr>
        <w:t>learned</w:t>
      </w:r>
      <w:proofErr w:type="gramEnd"/>
      <w:r>
        <w:rPr>
          <w:rFonts w:ascii="Times New Roman" w:hAnsi="Times New Roman" w:cs="Times New Roman"/>
          <w:color w:val="000000"/>
        </w:rPr>
        <w:t xml:space="preserve"> Counsel,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Tumusingusi</w:t>
      </w:r>
      <w:proofErr w:type="spellEnd"/>
      <w:r>
        <w:rPr>
          <w:rFonts w:ascii="Times New Roman" w:hAnsi="Times New Roman" w:cs="Times New Roman"/>
          <w:color w:val="000000"/>
        </w:rPr>
        <w:t>, abandoned ground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only argued ground 1(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). He submitted that the damages awarded by the Court of Appeal was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too excessive </w:t>
      </w:r>
      <w:r>
        <w:rPr>
          <w:rFonts w:ascii="Times New Roman" w:hAnsi="Times New Roman" w:cs="Times New Roman"/>
          <w:color w:val="000000"/>
        </w:rPr>
        <w:lastRenderedPageBreak/>
        <w:t>given the extent of injuries. He cited the following cases in support of his submission: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Flint v Lovell </w:t>
      </w:r>
      <w:r>
        <w:rPr>
          <w:rFonts w:ascii="Times New Roman" w:hAnsi="Times New Roman" w:cs="Times New Roman"/>
          <w:color w:val="000000"/>
        </w:rPr>
        <w:t>[1925] 1 KB 354</w:t>
      </w:r>
      <w:proofErr w:type="gramStart"/>
      <w:r>
        <w:rPr>
          <w:rFonts w:ascii="Times New Roman" w:hAnsi="Times New Roman" w:cs="Times New Roman"/>
          <w:color w:val="000000"/>
        </w:rPr>
        <w:t>,;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Robert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Coussens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 </w:t>
      </w:r>
      <w:r>
        <w:rPr>
          <w:rFonts w:ascii="Times New Roman" w:hAnsi="Times New Roman" w:cs="Times New Roman"/>
          <w:color w:val="000000"/>
        </w:rPr>
        <w:t>G</w:t>
      </w:r>
      <w:r>
        <w:rPr>
          <w:rFonts w:ascii="Times New Roman" w:hAnsi="Times New Roman" w:cs="Times New Roman"/>
          <w:i/>
          <w:iCs/>
          <w:color w:val="000000"/>
        </w:rPr>
        <w:t xml:space="preserve">eneral </w:t>
      </w:r>
      <w:r>
        <w:rPr>
          <w:rFonts w:ascii="Times New Roman" w:hAnsi="Times New Roman" w:cs="Times New Roman"/>
          <w:color w:val="000000"/>
        </w:rPr>
        <w:t>civil appeal number 8 of [1999]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(SCU) (UR) and </w:t>
      </w:r>
      <w:r>
        <w:rPr>
          <w:rFonts w:ascii="Times New Roman" w:hAnsi="Times New Roman" w:cs="Times New Roman"/>
          <w:i/>
          <w:iCs/>
          <w:color w:val="000000"/>
        </w:rPr>
        <w:t xml:space="preserve">Milly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Sugar Corporation of Uganda and another </w:t>
      </w:r>
      <w:r>
        <w:rPr>
          <w:rFonts w:ascii="Times New Roman" w:hAnsi="Times New Roman" w:cs="Times New Roman"/>
          <w:color w:val="000000"/>
        </w:rPr>
        <w:t>[2000] LLR 101 (SCU). In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instant case, learned Counsel contended that the Court of Appeal does not appear to have stated any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in support of the award it made. On the injuries sustained by the respondent, the learned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submitted that the evidence of the doctor PW4 and his medical report, (exhibit “P2”) indicated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respondent’s major problem was “weakness in the genitals - the penis had started to shrink and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unable to erect,” which may result into impotence. The doctor also said that on the third day the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had improved. Learned Counsel contended that the trial Court and Court of Appeal found that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not proved that the injuries warranted an award of damages. He also contended that there was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nothing to prove that the injury was permanent. The appellant’s learned Counsel concluded that as the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award made by the Court of Appeal for damages, was excessive, this Court should reduce it to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million–5 million. Learned Counsel referred to </w:t>
      </w:r>
      <w:r>
        <w:rPr>
          <w:rFonts w:ascii="Times New Roman" w:hAnsi="Times New Roman" w:cs="Times New Roman"/>
          <w:i/>
          <w:iCs/>
          <w:color w:val="000000"/>
        </w:rPr>
        <w:t xml:space="preserve">Milly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Uganda Sugar Corporation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in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this Court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upheld an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 million general damages for personal injury. The appellant there had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sustained very serious injuries in a road motor accident.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instant appeal the respondent was represented by M/s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Lumweno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Company Advocates, who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grounds 1(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1(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of appeal in their written submission, arguing them separately. Under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 1(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which was, alternative ground to 1(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). Learned Counsel submitted that the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15 million general damages by the Court of Appeal was not excessive, and that we should leave it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undisturbed. Learned Counsel relied on what this Court said on award of damages in </w:t>
      </w:r>
      <w:r>
        <w:rPr>
          <w:rFonts w:ascii="Times New Roman" w:hAnsi="Times New Roman" w:cs="Times New Roman"/>
          <w:i/>
          <w:iCs/>
          <w:color w:val="000000"/>
        </w:rPr>
        <w:t xml:space="preserve">Robert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Coussens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132A6E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Attorney General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). In that case what I said in the lead judgment was concurred to by other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members of the court. The case concerned </w:t>
      </w:r>
      <w:proofErr w:type="spellStart"/>
      <w:r>
        <w:rPr>
          <w:rFonts w:ascii="Times New Roman" w:hAnsi="Times New Roman" w:cs="Times New Roman"/>
          <w:color w:val="000000"/>
        </w:rPr>
        <w:t>Coussen’s</w:t>
      </w:r>
      <w:proofErr w:type="spellEnd"/>
      <w:r>
        <w:rPr>
          <w:rFonts w:ascii="Times New Roman" w:hAnsi="Times New Roman" w:cs="Times New Roman"/>
          <w:color w:val="000000"/>
        </w:rPr>
        <w:t xml:space="preserve"> claim for damages for the very severe gunshot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wounds which was negligently caused by the Uganda Police. The relevant passage of my judgment was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reproduced by the respondent’s learned Counsel in their written submissions.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passage, at 20–21, I said: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 turn now to the trial court’s discretion on matters of damages. The law is now well settled that an appellate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will not interfere with an award of damages by a trial court unless the trial court has acted upon a wrong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principle of law or that the amount is so high or so low as to make it an entirely an erroneous estimate of the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 to which the plaintiff is entitled. The earliest authority on this point I have been able to find is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Phillips v London South Western Point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supra</w:t>
      </w:r>
      <w:r>
        <w:rPr>
          <w:rFonts w:ascii="Times New Roman" w:hAnsi="Times New Roman" w:cs="Times New Roman"/>
          <w:color w:val="000000"/>
          <w:sz w:val="20"/>
          <w:szCs w:val="20"/>
        </w:rPr>
        <w:t>), in which James LJ said on pages 85: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‘The first point, which is a very important one, relates to dissenting from verdict of the jury upon a matter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generally speaking is considered to be within their exclusive province, that is to say the amount of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damages: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 agree that judges have no right to overrule the verdict of a jury as to the amount of damages, merely because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they take a different view, and think that if they had been the jury, they would have given more or would have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given less, still the verdict of juries as to the amount of damages are subject, and for the sake of justice, be subject,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supervision of a court of first instance and if necessary of a court of appeal in this way that is to say, if in the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judgment of the court the damages are unreasonably large or are unreasonably small then the court is bound to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send the matter for consideration by another jury.’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Owen v Sykes </w:t>
      </w:r>
      <w:r>
        <w:rPr>
          <w:rFonts w:ascii="Times New Roman" w:hAnsi="Times New Roman" w:cs="Times New Roman"/>
          <w:color w:val="000000"/>
          <w:sz w:val="20"/>
          <w:szCs w:val="20"/>
        </w:rPr>
        <w:t>[1936] 1 KB 192, the Court of Appeal of England felt that although if they had tried the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case, in the first instance they would have probably awarded a smaller sum as damages yet they would not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review the finding on damages as they were not satisfied that the trial judge acted upon a wrong principle of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law, or that amount awarded as damages was so high as to make it an entirely erroneous estimate of the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damages to which the plaintiff was entitled. The Court of Appeal followed the case of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Flint v Lovell </w:t>
      </w:r>
      <w:r>
        <w:rPr>
          <w:rFonts w:ascii="Times New Roman" w:hAnsi="Times New Roman" w:cs="Times New Roman"/>
          <w:color w:val="000000"/>
          <w:sz w:val="20"/>
          <w:szCs w:val="20"/>
        </w:rPr>
        <w:t>[1935] I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KB 354. This principle has been applied in East Africa and Uganda: see: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Muljibhai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 The Particular another</w:t>
      </w:r>
      <w:r w:rsidR="00132A6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(1944) EACA,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Mitford Bowker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(1947) 14 EACA 20;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Watson v Powles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[1968] IQ 596 and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Obonyo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v</w:t>
      </w:r>
      <w:r w:rsidR="00132A6E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Municipal Council of Kisumu </w:t>
      </w:r>
      <w:r>
        <w:rPr>
          <w:rFonts w:ascii="Times New Roman" w:hAnsi="Times New Roman" w:cs="Times New Roman"/>
          <w:color w:val="000000"/>
          <w:sz w:val="20"/>
          <w:szCs w:val="20"/>
        </w:rPr>
        <w:t>[1971] EA 91 of 96.”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the principle that an appellate court will not interfere with the award of damages by a trial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unless the trial court acted upon wrong principle of law or the amount awarded is so high or so low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make it an entirely erroneous estimate of the damages to which the plaintiff was entitled equally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applies to the instant case. This court is entitled to interfere with the amount of damages awarded by the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for the following reasons: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Firstly, the respondent prayed for a specific sum of 30 million as if it was a claim for special damages,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must be pleaded and proved. It is trite law that the amount of general damages which a plaintiff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awarded is a matter of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discretion by the trial Court. Secondly, the Court of Appeal upheld the trial Court finding that: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no expert medical evidence to prove that the disability was likely to result into permanent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impotence.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Counsel’s submission that the respondent’s wife had abandoned him because he no longer performed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marital duties was a creation of his (respondent’s) own imagination. No such evidence was adduced.”</w:t>
      </w:r>
      <w:r w:rsidR="00132A6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Thirdly, in view of the medical and other evidence the amount of 15 million shillings, in my view, was so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as to make it an entirely erroneous estimate of the damages to which the </w:t>
      </w:r>
      <w:r>
        <w:rPr>
          <w:rFonts w:ascii="Times New Roman" w:hAnsi="Times New Roman" w:cs="Times New Roman"/>
          <w:color w:val="000000"/>
        </w:rPr>
        <w:lastRenderedPageBreak/>
        <w:t>respondent was entitled. It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excessive.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circumstances, I would reduce the amount of damages awarded by the Court of Appeal to the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from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15 million to 3 million, with one-third of the cost here and in the courts below.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result this appeal would partially succeed, and I would set aside the judgment and orders of the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and substitute them with the following orders: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An</w:t>
      </w:r>
      <w:proofErr w:type="gramEnd"/>
      <w:r>
        <w:rPr>
          <w:rFonts w:ascii="Times New Roman" w:hAnsi="Times New Roman" w:cs="Times New Roman"/>
          <w:color w:val="000000"/>
        </w:rPr>
        <w:t xml:space="preserve"> award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3 million general damages to the respondent.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 award of one third of the costs in this Court and in the Courts below.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 concurred with the judgment of Oder JSC.</w:t>
      </w:r>
      <w:r w:rsidR="00132A6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appellant:</w:t>
      </w:r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Tumusingusi</w:t>
      </w:r>
      <w:proofErr w:type="spellEnd"/>
    </w:p>
    <w:p w:rsidR="00864D8E" w:rsidRDefault="00864D8E" w:rsidP="00864D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864D8E" w:rsidP="00864D8E">
      <w:r>
        <w:rPr>
          <w:rFonts w:ascii="Times New Roman" w:hAnsi="Times New Roman" w:cs="Times New Roman"/>
          <w:color w:val="000000"/>
        </w:rPr>
        <w:t xml:space="preserve">M/s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Lumweno</w:t>
      </w:r>
      <w:proofErr w:type="spellEnd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8E"/>
    <w:rsid w:val="00132A6E"/>
    <w:rsid w:val="00864D8E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100EC-68F4-4D3C-9874-DEC907D7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2018-07-05T06:03:00Z</dcterms:created>
  <dcterms:modified xsi:type="dcterms:W3CDTF">2018-07-12T08:15:00Z</dcterms:modified>
</cp:coreProperties>
</file>