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81" w:rsidRDefault="00E72D81" w:rsidP="00E72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Customs v Car &amp; General (Kenya) Ltd</w:t>
      </w:r>
    </w:p>
    <w:p w:rsidR="00E72D81" w:rsidRDefault="00E72D81" w:rsidP="00E72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Mombasa; Court of Appeal at Mombasa</w:t>
      </w:r>
    </w:p>
    <w:p w:rsidR="00E72D81" w:rsidRDefault="00E72D81" w:rsidP="00E72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12 October 1973</w:t>
      </w:r>
    </w:p>
    <w:p w:rsidR="00E72D81" w:rsidRDefault="00E72D81" w:rsidP="00E72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2/1973 (21/74); 57/1973 (34/74)</w:t>
      </w:r>
    </w:p>
    <w:p w:rsidR="00E72D81" w:rsidRDefault="00E72D81" w:rsidP="00E72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Dermot Sheridan J, Law Ag V-P,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E72D81" w:rsidRDefault="00E72D81" w:rsidP="00E72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E72D81" w:rsidRDefault="00E72D81" w:rsidP="00E72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Customs &amp; Excise – Classification by Commissioner – General – Industrial goods – Classification</w:t>
      </w:r>
    </w:p>
    <w:p w:rsidR="00E72D81" w:rsidRDefault="00E72D81" w:rsidP="00E72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not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shown to be wrong upheld – Customs Tariff Act </w:t>
      </w:r>
      <w:r>
        <w:rPr>
          <w:rFonts w:ascii="Times New Roman" w:hAnsi="Times New Roman" w:cs="Times New Roman"/>
          <w:color w:val="000000"/>
        </w:rPr>
        <w:t>1970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E72D81" w:rsidRDefault="00680C1E" w:rsidP="00680C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72D81" w:rsidRDefault="00E72D81" w:rsidP="00680C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Sir Dermot Sheridan J: </w:t>
      </w:r>
      <w:r>
        <w:rPr>
          <w:rFonts w:ascii="Times New Roman" w:hAnsi="Times New Roman" w:cs="Times New Roman"/>
          <w:color w:val="000000"/>
        </w:rPr>
        <w:t>This is an appeal from the judgment of the resident magistrate Mombasa that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three battery boosters, which were imported by the respondent in 1972, and which were classified under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Chapter 85 of the First Schedule to The Customs, Tariff Act 1970, hereinafter referred to as “the Act”, as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electrical goods came under the Tariff Heading of “A. Industrial” and so were exempt from import duty.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magistrate rejected the contention of the appellant that they came under the Heading of “C. Other”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so were subject to 30 per cent duty. S. 2 (1) of the Act defines “industrial” in relation to an article as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“that the article has been shown to the satisfaction of the Commissioner-General to be made for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use solely or principally as industrial apparatus, plant, or machinery, or as a specialized part thereof”. S.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 (3)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provides: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“(3) The interpretation of the First Schedule shall be governed by the following principles–</w:t>
      </w:r>
      <w:r w:rsidR="00680C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where goods are classified in the schedule according to their use either by way of general</w:t>
      </w:r>
      <w:r w:rsidR="00680C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description of their use or by reference to the use</w:t>
      </w:r>
      <w:r w:rsidR="00680C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intended on importation or clearance through the Customs, such conditions of use shall not be</w:t>
      </w:r>
      <w:r w:rsidR="00680C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taken to be fulfilled unless at the time of importation or clearance through the Customs, the</w:t>
      </w:r>
      <w:r w:rsidR="00680C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intended direct use is proved to the satisfaction of the Commissioner-General;”</w:t>
      </w:r>
      <w:r w:rsidR="00680C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support of its claim that the articles were industrial the respondent called Mr. P. H. Rainsford, its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branch manager, who produced a brochure describing the small portable charger battery booster as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bringing “to the small garage and filling station facilities for a rapid charging service at attractively low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cost”. He stated that only one out of 14 articles previously imported had not been sold to a commercial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workshop garage. They are not commonly used in homes or car showrooms. He maintained that a garage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an industrial establishment.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M. Smith, the Chief Controller of Customs and Excise, would not agree that a small garage could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described as industrial. As the word “industrial” is only defined in s. 2 (1) of the Act by the repetition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word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in the body of the definition he fell back on its dictionary meaning. He took it to mean the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production and manufacture of goods, in this case electrical energy.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Memorandum of Appeal lists the following grounds: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resident magistrate erred in law and in fact in failing to apply the principles governing the</w:t>
      </w:r>
      <w:r w:rsidR="00680C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interpretation of the First Schedule to the said Act and in particular principles governing electrical</w:t>
      </w:r>
      <w:r w:rsidR="00680C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machinery and equipment and parts thereof as contained in Chapter 85 of the said Act.</w:t>
      </w:r>
      <w:r w:rsidR="00680C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resident magistrate erred in law in failing to consider and apply the proper interpretation to be</w:t>
      </w:r>
      <w:r w:rsidR="00680C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given to the definitions of “domestic” as opposed to “industrial” articles as contained in s. 2 of the said</w:t>
      </w:r>
      <w:r w:rsidR="00680C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Act.</w:t>
      </w:r>
      <w:r w:rsidR="00680C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resident magistrate erred in law and in fact in directing his attention to the meaning given to</w:t>
      </w:r>
      <w:r w:rsidR="00680C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word “industrial” as defined in Chambers Dictionary when the said word has been given distinct</w:t>
      </w:r>
      <w:r w:rsidR="00680C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definition in the said Act.</w:t>
      </w:r>
      <w:r w:rsidR="00680C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hat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resident magistrate erred in law in misconstruing the definition of the word “industrial” as</w:t>
      </w:r>
      <w:r w:rsidR="00680C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appearing in s. 2 of dealing with interpretation of the terms used in the said Act.</w:t>
      </w:r>
      <w:r w:rsidR="00680C1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Ouma</w:t>
      </w:r>
      <w:proofErr w:type="spellEnd"/>
      <w:r>
        <w:rPr>
          <w:rFonts w:ascii="Times New Roman" w:hAnsi="Times New Roman" w:cs="Times New Roman"/>
          <w:color w:val="000000"/>
        </w:rPr>
        <w:t>, for the appellant, does not quarrel with the passage in the judgment of the magistrate. “It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appear from the customs Tariff item No. 85–01 that the legislature intended to encourage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‘Industry’ and therefore exempted the articles in Tariff item 85–01 A” but he contends that as far as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import duty is concerned “Industry” relates to manufacture and not necessarily to any industrial activity.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relies on the Schedule to The Local Industries (Refund of Customs Duties) Act (Cap. 481) which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refers exclusively to the local manufacture of specified articles. It is not disputed that the battery boosters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not connected with the manufacture of goods.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Ouma</w:t>
      </w:r>
      <w:proofErr w:type="spellEnd"/>
      <w:r>
        <w:rPr>
          <w:rFonts w:ascii="Times New Roman" w:hAnsi="Times New Roman" w:cs="Times New Roman"/>
          <w:color w:val="000000"/>
        </w:rPr>
        <w:t xml:space="preserve"> further complains about the magistrate’s emphasis on the inherent character of the goods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remains no matter to what use they are put. This he submits is a misdirection in view of s. 2 (3)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Act under which the Commissioner-General has to be satisfied of the intended use to which the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goods may be put. He cannot merely look at their inherent character. Mr. </w:t>
      </w:r>
      <w:proofErr w:type="spellStart"/>
      <w:r>
        <w:rPr>
          <w:rFonts w:ascii="Times New Roman" w:hAnsi="Times New Roman" w:cs="Times New Roman"/>
          <w:color w:val="000000"/>
        </w:rPr>
        <w:t>Inamdar</w:t>
      </w:r>
      <w:proofErr w:type="spellEnd"/>
      <w:r>
        <w:rPr>
          <w:rFonts w:ascii="Times New Roman" w:hAnsi="Times New Roman" w:cs="Times New Roman"/>
          <w:color w:val="000000"/>
        </w:rPr>
        <w:t>, for the respondent,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objects to the introduction of the contrast between industrial and domestic articles by the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Commissioner-General in the correspondence but s. 2 (1) of the Act itself defines “domestic” in relation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an article as meaning suitable for use in a </w:t>
      </w:r>
      <w:r>
        <w:rPr>
          <w:rFonts w:ascii="Times New Roman" w:hAnsi="Times New Roman" w:cs="Times New Roman"/>
          <w:color w:val="000000"/>
        </w:rPr>
        <w:lastRenderedPageBreak/>
        <w:t>house, an hotel, a restaurant or a retail or similar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establishment and under Part B of the Third Schedule to the Act exemption in regard to such items as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kerosene depends on the use to which they are to be put, in that case solely for use in aircraft engines.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item 13 sewing machines are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exempted from duty if they are for installation in a factory approved by the Commissioner-General. A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filling station would be a retail establishment and not an industrial complex. It was for the respondent to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 that the Commissioner-General was wrong when he stated that he was satisfied that the use of a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battery booster in a garage would not be “for use solely or principally as industrial apparatus, plant or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machinery”. Quite apart from the question of encouraging local industry, I think it is largely a question of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degree. Even if a car, or cars, were sometimes repaired in </w:t>
      </w:r>
      <w:r>
        <w:rPr>
          <w:rFonts w:ascii="Times New Roman" w:hAnsi="Times New Roman" w:cs="Times New Roman"/>
          <w:i/>
          <w:iCs/>
          <w:color w:val="000000"/>
        </w:rPr>
        <w:t xml:space="preserve">small </w:t>
      </w:r>
      <w:r>
        <w:rPr>
          <w:rFonts w:ascii="Times New Roman" w:hAnsi="Times New Roman" w:cs="Times New Roman"/>
          <w:color w:val="000000"/>
        </w:rPr>
        <w:t>garages I doubt whether the use of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battery boosters in them could be said to be in an industrial complex.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Inamdar</w:t>
      </w:r>
      <w:proofErr w:type="spellEnd"/>
      <w:r>
        <w:rPr>
          <w:rFonts w:ascii="Times New Roman" w:hAnsi="Times New Roman" w:cs="Times New Roman"/>
          <w:color w:val="000000"/>
        </w:rPr>
        <w:t xml:space="preserve"> submits that the word “industrial” must be given its ordinary literal grammatical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meaning. If it was to be limited to “a manufacturing plant” those words should have been inserted in the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definition. The word “industrial” must have a wider content and due to the defective definition in the Act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permissible to adopt a dictionary meaning such as that given in Chambers Twentieth Century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Dictionary as covering “systematic economic activity, or any branch thereof; a trade or manufacture”.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battery boosters were intended for use in a place in which trade or productive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was engaged. I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repeat my doubts as to whether trade takes place in a small garage.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</w:rPr>
        <w:t>Inamdar</w:t>
      </w:r>
      <w:proofErr w:type="spellEnd"/>
      <w:r>
        <w:rPr>
          <w:rFonts w:ascii="Times New Roman" w:hAnsi="Times New Roman" w:cs="Times New Roman"/>
          <w:color w:val="000000"/>
        </w:rPr>
        <w:t xml:space="preserve"> objects that the 1970 Act and Cap. 481 are not in </w:t>
      </w:r>
      <w:proofErr w:type="spellStart"/>
      <w:r>
        <w:rPr>
          <w:rFonts w:ascii="Times New Roman" w:hAnsi="Times New Roman" w:cs="Times New Roman"/>
          <w:color w:val="000000"/>
        </w:rPr>
        <w:t>pari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materia</w:t>
      </w:r>
      <w:proofErr w:type="spellEnd"/>
      <w:r>
        <w:rPr>
          <w:rFonts w:ascii="Times New Roman" w:hAnsi="Times New Roman" w:cs="Times New Roman"/>
          <w:color w:val="000000"/>
        </w:rPr>
        <w:t xml:space="preserve"> as one refers to the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imposition of duty and the other to the refund of duty. I think that the two Acts are part of the legislative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structure regarding the imposition of and exemptions from import duties.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magistrate referred to the Government policy of encouraging local industries. This is done by the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refund of duties as provided for by Cap. 481 and it should have been brought to the attention of the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magistrate. The Commissioner-General has a wide discretion in these matters as is shown by the Third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Schedule to the Act. It cannot have been the intention of the legislature to exempt from duty those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articles which are designed for ordinary domestic or commercial use. I do not think that the respondent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discharged the onus of proving that the Commissioner-General came to a wrong decision when he stated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was satisfied that they were not an industrial item under Chapter 85–01A of the First Schedule.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leaving this appeal I would remark that the concession by Mr. Smith that he consulted the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dictionary meaning of the word “industrial” should not have bound the magistrate in trying to arrive at a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right decision on the facts by reference to the interpretation of the relevant provisions of the Act; and the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that the Commissioner-General may have made an erroneous exemption relating to the previous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importation of similar articles cannot create an estoppel against him: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Tarmal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Industries Ltd. v. Customs</w:t>
      </w:r>
      <w:r>
        <w:rPr>
          <w:rFonts w:ascii="Times New Roman" w:hAnsi="Times New Roman" w:cs="Times New Roman"/>
          <w:color w:val="000000"/>
        </w:rPr>
        <w:t>,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[1968] E.A. 471. He must not of course act capriciously but there is nothing to show that he has not acted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otherwise than judicially and reasonably in the circumstances of this case: </w:t>
      </w:r>
      <w:r>
        <w:rPr>
          <w:rFonts w:ascii="Times New Roman" w:hAnsi="Times New Roman" w:cs="Times New Roman"/>
          <w:i/>
          <w:iCs/>
          <w:color w:val="000000"/>
        </w:rPr>
        <w:t xml:space="preserve">Income Tax 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Noorani</w:t>
      </w:r>
      <w:proofErr w:type="spellEnd"/>
      <w:r>
        <w:rPr>
          <w:rFonts w:ascii="Times New Roman" w:hAnsi="Times New Roman" w:cs="Times New Roman"/>
          <w:color w:val="000000"/>
        </w:rPr>
        <w:t>, [1969]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E.A. 685 per Sir Charles Newbold, P. at p. 688.</w:t>
      </w:r>
      <w:r w:rsidR="00680C1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allow the appeal with costs here in the court below.</w:t>
      </w:r>
    </w:p>
    <w:p w:rsidR="00E72D81" w:rsidRDefault="00E72D81" w:rsidP="00E72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accordingly.</w:t>
      </w:r>
    </w:p>
    <w:p w:rsidR="00E72D81" w:rsidRDefault="00E72D81" w:rsidP="00E72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E72D81" w:rsidRDefault="00E72D81" w:rsidP="00E72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LP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(Assistant Counsel)</w:t>
      </w:r>
    </w:p>
    <w:p w:rsidR="00E72D81" w:rsidRDefault="00E72D81" w:rsidP="00E72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E72D81" w:rsidRDefault="00E72D81" w:rsidP="00E72D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Inamdar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Bryson,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Inamdar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&amp; Bowyer</w:t>
      </w:r>
      <w:r>
        <w:rPr>
          <w:rFonts w:ascii="Times New Roman" w:hAnsi="Times New Roman" w:cs="Times New Roman"/>
          <w:color w:val="000000"/>
        </w:rPr>
        <w:t>, Mombasa)</w:t>
      </w:r>
    </w:p>
    <w:p w:rsidR="00664035" w:rsidRDefault="00E72D81" w:rsidP="00E72D81">
      <w:proofErr w:type="gramStart"/>
      <w:r>
        <w:rPr>
          <w:rFonts w:ascii="Times New Roman" w:hAnsi="Times New Roman" w:cs="Times New Roman"/>
          <w:b/>
          <w:bCs/>
          <w:color w:val="000000"/>
        </w:rPr>
        <w:t>Editor’s</w:t>
      </w:r>
      <w:proofErr w:type="gramEnd"/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81"/>
    <w:rsid w:val="00664035"/>
    <w:rsid w:val="00680C1E"/>
    <w:rsid w:val="00E7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C613E-3E32-4DC4-B108-8572B231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2018-07-05T12:57:00Z</dcterms:created>
  <dcterms:modified xsi:type="dcterms:W3CDTF">2018-07-12T08:17:00Z</dcterms:modified>
</cp:coreProperties>
</file>