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 P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Sezi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March 1974</w:t>
      </w:r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183/1973 (97/74)</w:t>
      </w:r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Withdrawal – D.P.P. may withdraw without leave –</w:t>
      </w:r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Magistrates’ Courts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. 119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Trial – State Attorney unable to proceed – Discharge proper.</w:t>
      </w:r>
    </w:p>
    <w:p w:rsidR="00202C13" w:rsidRDefault="0067786F" w:rsidP="006778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02C13" w:rsidRPr="0067786F" w:rsidRDefault="00202C13" w:rsidP="006778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Manyindo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This is an appeal by the Director of Public Prosecutions against the decision of a chief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whereby the respondents were acquitted under the provisions of s. 125 of the Magistrates’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Act 1970, of the offence of theft contrary to s. 252 of the Penal Code and also of the alternative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of receiving or retaining stolen property contrary to s. 289 of the Penal Code.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 125 of the Magistrates’ Courts Act 1970 provides for the acquittal of an accused person if at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close of the prosecution case it appears to the court that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has not been made out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sufficiently to require him to make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first appeared in court on 21 February 1973 to answer the said charges. They were at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detained on remand but were later released on bail pending completion of police inquiries. On 16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1973 the police prosecutor applied for further adjournment on the ground that the inquiries were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going on. That application was granted despite objection by the counsel for the second respondent.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was adjourned to 14 June 1973.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case came up for hearing on 14 June 1973 the police prosecutor informed the court that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Public Prosecutions had directed certain enquiries to be carried out which had been done and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police file had been re-submitted to him for advice, adding “otherwise everything is ready. I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apply for a short adjournment”.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did not object to that request but applied for the case to be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fixed for hearing on 25 June 1973. They also requested that that be the last adjournment.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magistrate adjourned the hearing to that date very reluctantly as he said: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“Last time the case came before me and the prosecution requested for adjournment. I said that it was wrong to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keep the charges hanging on accused while investigations are being carried out. Justice delayed is justice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denied and it is my hope that the prosecution will proceed with this case when it comes up for hearing or else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withdraw. I am giving final adjournment.”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25 June 1973, Mr.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>, a State Attorney, appeared for the State and applied for an adjournment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ground that enquiries were incomplete. The application was strongly opposed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lawyers. The chief magistrate refused the application. He thought that the prosecution had been given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ample time and warning to complete their inquiries and have the matter determined by the court one way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the other. At that juncture the State Attorney rose and said: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apply to withdraw the charge against the accused persons. I do not know what to do. I am stuck. In this case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may resort to the other alternative suggested by the D.P.P. and that is to withdraw.”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application was in turn opposed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lawyers who submitted that the intention of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prosecution was to re-arrest the respondents immediately the charges were withdrawn.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also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since the State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was applying for leave to withdraw the charges the court was free not to give its consent. It was then that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State Attorney stood up and said: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full instructions to withdraw from the D.P.P. I am a State Attorney. I have instructions to apply for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adjournment and if it is refused to apply to withdraw.”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>, for the first respondent then said “Rather than grant a withdrawal, my client would rather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prefer adjournment. The consequences of withdrawal are obvious.”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appeal Mr.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claimed that he had at that very juncture told the court that the prosecuting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had threatened, before the court sat, to withdraw the charge and have the respondents re-arrested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if an adjournment was refused. As the chief magistrate had not recorded this Mr.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wished to call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to testify to that effect on appeal. I declined to adopt that course but instead called for his report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341 (7) of the Criminal Procedure Code.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report the chief magistrate said: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remember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saying, after he had said (“Rather than grant withdrawal, my client would rather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prefer adjournment. The consequences of withdrawal are obvious”), that the prosecutor had said that the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accused would be re-arrested if the case was withdrawn.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Sempa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 prosecutor did not reply to this. I did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record that portion because in view of what had transpired before, it was obvious to me that if withdrawal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granted the accused would be re-arrested and charged again. It may have been an error on my part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not to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record this. But I thought it was not necessary to do so. I took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Mulenga’s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remark as an observation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though he appeared earnest and serious in saying so.”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the appeal I had before me two affidavits, one sworn by the Director of Public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Prosecutions and the other by Mr.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>. In his affidavit the Director of Public Prosecutions stated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his instructions to Mr.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 xml:space="preserve"> were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to apply for the hearing of the case to be adjourned and if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impossible,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to act under s. 119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Magistrates’ Courts Act 1970 and withdraw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against the respondents.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 xml:space="preserve"> confirmed in his affidavit that he had received the above instructions from the Director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Public Prosecutions and that after failing to secure an adjournment he had informed the court that 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withdrawing the charges against the respondents. In cross-examination he denied that he had told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or any other person for that matter that if adjournment was not granted he would withdraw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charges and cause the respondents to be re-arrested and charged again with the same offences. This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young man gave me the vivid impression that he was simply sticking to his guns in order to save his face.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no hesitation in accepting the report of the chief magistrate as being correct.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dismissing the application to withdraw, the chief magistrate was of the view that it was improper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prosecution to seek to withdraw after failing to secure an adjournment, because this would allow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an opportunity to re-arrest and charge the respondents under s. 119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Magistrates’ Courts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1970. He thought the prosecution unduly failed to complete the enquiries and that the prosecution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“getting what they failed to achieve by applying for adjournment”. He also held that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Public Prosecutions had not instructed the prosecuting counsel but merely advised him to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withdraw the charges if the application for adjournment failed, in which case such a withdrawal must be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leave of court.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seems clear to me that the hearing date was fixed when the file was still with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Director of Public Prosecutions “for advice”. Since the latter had not given his final advice on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 think, with respect, the chief magistrate was wrong to fix the hearing date. In my opinion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Public Prosecutions was free to order further investigations. In other words where a case has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referred to the Director of Public Prosecutions for advice that case is not ready until he says so. This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meant to encourage the director to sit on cases because the courts can always dismiss such a case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unheard.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appeal there are two main issues to be resolved. The first one, which was raised by the counsel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respondents, is whether this appeal is properly before the court. They argued that it is not because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s. 216 (5) of the Magistrates’ Courts Act 1970 the Director of Public Prosecutions can only appeal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this court against acquittals on a point of law. He cannot, they submitted, appeal against refusal to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adjourn the hearing of a case or a refusal to grant leave to withdraw the charges against an accused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S.216 (5) reads: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“216 (5) W here an accused person has been acquitted by a Magistrate’s Court, the Director of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Public Prosecutions may appeal (or sanction an appeal in such manner as may be prescribed by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Minister by Statutory instrument) on the ground that such acquittal is erroneous in law,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to the High Court, where the accused person has been acquitted by a Court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presided over by a Chief Magistrate or a Magistrate Grade 1.”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submission that this appeal is misconceived is, with respect, without substance. It is true that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magistrate refused to adjourn the hearing and refused to grant leave to the prosecutor to withdraw.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also true that those would not in themselves be good grounds for appeal as far as the Director of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Prosecutions is concerned. But the chief magistrate did more than that. He in fact acquitted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saying: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prosecution has not therefore (by refusing to proceed with the case) established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case. The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are accordingly acquitted.”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notice of appeal the Director of Public Prosecutions stated,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appeal is against these acquittals”, and in his first ground of appeal he stated that the chief magistrate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“erred in law in acquitting the respondents under s. 125 of the Magistrates’ Courts Act 1970 when no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had been adduced by the prosecution owing to the fact that the prosecution was not ready to proceed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the Police were still going on with their inquiries.”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seems clear to me that the question whether a provision in the law has or has not been rightly applied is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law. I am satisfied that this appeal is properly before the court.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question is whether the chief magistrate deprived the Director of Public Prosecutions of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powers to withdraw from the proceedings. According to Article 71 of the Constitution of Uganda 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at any stage before judgment is delivered, discontinue any criminal proceedings instituted or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undertaken by himself or any other person or authority.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does not, however, prescribe the manner in which the Director of Public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Prosecutions may discontinue such proceedings.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far as magistrate’s courts are concerned s. 119 of the Magistrates’ Courts Act 1970 is, I believe, to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point. It provides as under: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“119. In any proceeding before a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Magistrate’s Court, the prosecutor may, with the consent of the court or on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instructions of the Director of Public Prosecutions, at any time before judgment is pronounced,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withdraw from the prosecution of any person and upon such withdrawal: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 it is made before the accused person is called upon to make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he shall be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discharged, but such discharge of an accused person shall not operate as a bar to subsequent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against him on account of the same facts;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 it is made after the accused person is called upon to make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he shall be acquitted.”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form that the instructions of the Director of Public Prosecutions should take is again not prescribed.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practice the courts have always acted on the word of the prosecuting counsel or public prosecutor. In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instant case I accept the assertion in the Director of Public Prosecutions’ affidavit that he did instruct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Lugayizi</w:t>
      </w:r>
      <w:proofErr w:type="spellEnd"/>
      <w:r>
        <w:rPr>
          <w:rFonts w:ascii="Times New Roman" w:hAnsi="Times New Roman" w:cs="Times New Roman"/>
          <w:color w:val="000000"/>
        </w:rPr>
        <w:t xml:space="preserve"> in terms I have quoted above. But looking at the record of proceedings I cannot say that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instructions were conveyed to the court in that form. The court can only act on what it is presented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with. From the statements made by the prosecuting counsel which I have quoted, I am satisfied that 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fact applying for permission to withdraw.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seems to have been very clear about his instructions when he said: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full instructions to withdraw from the Director of Public Prosecutions. I am a State Attorney. I have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instructions to apply for adjournment and if it is refused to apply to withdraw.”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was argued on behalf of the respondents that the Director of Public Prosecutions could not have given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instructions in the alternative and that in any case those he gave in this case, if he did, were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conflicting. I do not see any conflict in the two instructions, to apply for adjournment failing which to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withdraw. Again I see nothing wrong in the Director of Public Prosecutions giving his instructions in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alternative if he so wishes. He should be free to invoke his constitutional and statutory powers as a last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resort in some cases.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foregoing I am satisfied that the chief magistrate was justified in holding that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 of Public Prosecutions was applying for leave to withdraw. The court therefore had to exercise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discretion in the matter. The last point that falls for decision in my view is whether the court exercised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discretion correctly.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the Senior State Attorney who appeared for the State attacked the decision of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on the ground that he had been influenced by speculations as to what might happen to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if the charges were withdrawn against them. This is hard to comprehend. The magistrate did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speculate. He was in fact alive to the law on this point. This is what he said: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doubt the law is clear. A person discharged under s. 119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Magistrates’ Courts Act can be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re-arrested again and charged.”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did observe, as he was entitled to do in my </w:t>
      </w:r>
      <w:proofErr w:type="gramStart"/>
      <w:r>
        <w:rPr>
          <w:rFonts w:ascii="Times New Roman" w:hAnsi="Times New Roman" w:cs="Times New Roman"/>
          <w:color w:val="000000"/>
        </w:rPr>
        <w:t>opinion, that</w:t>
      </w:r>
      <w:proofErr w:type="gramEnd"/>
      <w:r>
        <w:rPr>
          <w:rFonts w:ascii="Times New Roman" w:hAnsi="Times New Roman" w:cs="Times New Roman"/>
          <w:color w:val="000000"/>
        </w:rPr>
        <w:t xml:space="preserve"> the legislature could not have intended that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application to withdraw should be resorted to in circumstances such as these where an application for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adjournment had been refused. His quarrel with the prosecution seems to have been that they had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have the case tried. It should also be remembered that on 14 June 1973 the chief magistrate had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advised the prosecutor on that 25 June 1973 the prosecution should proceed with the case “or else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withdraw”. That advice was not followed.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magistrate right in holding that by failing to proceed with the case the prosecution had failed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establish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within the meaning of s. 125 of the Magistrates’ Courts Act 1970?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respondents answered this question in the affirmative, relying on the celebrated case of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Uganda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Milenge</w:t>
      </w:r>
      <w:proofErr w:type="spellEnd"/>
      <w:r>
        <w:rPr>
          <w:rFonts w:ascii="Times New Roman" w:hAnsi="Times New Roman" w:cs="Times New Roman"/>
          <w:color w:val="000000"/>
        </w:rPr>
        <w:t xml:space="preserve">, [1970] E.A. 269. The ratio </w:t>
      </w:r>
      <w:proofErr w:type="spellStart"/>
      <w:r>
        <w:rPr>
          <w:rFonts w:ascii="Times New Roman" w:hAnsi="Times New Roman" w:cs="Times New Roman"/>
          <w:color w:val="000000"/>
        </w:rPr>
        <w:t>decidendi</w:t>
      </w:r>
      <w:proofErr w:type="spellEnd"/>
      <w:r>
        <w:rPr>
          <w:rFonts w:ascii="Times New Roman" w:hAnsi="Times New Roman" w:cs="Times New Roman"/>
          <w:color w:val="000000"/>
        </w:rPr>
        <w:t xml:space="preserve"> of that case, as I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understand it, is that where the prosecution refuses to proceed with his case when the witnesses are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then that must be regarded as the close of the case for the prosecution. The court would then be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free to hold, as in this case, that the prosecution has not established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to require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accused to be called upon to make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position is quite different in the instant case. Here there is nothing on record to show that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had been summoned. The court had all along been told that the enquiries were incomplete and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for adjournment had been made by the prosecution on the sole ground that enquiries were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going on. With respect I think the magistrate was hard on the prosecution in calling upon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 to proceed with the case when enquiries were incomplete. I should like to think that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 of a case should precede its hearing.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the magistrate expressed a similar view in his ruling when he said;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it is wrong to charge an accused person and then proceed to carry out inquiries.”</w:t>
      </w:r>
      <w:r w:rsidR="0067786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agree with him entirely and may be permitted to add that it is also wrong to proceed to try a case which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still under investigation. In my view the chief magistrate was wrong in proceeding to try the case and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acquit the respondents in the circumstances of this case.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seems to me that the better course to be followed in a case like this is that which was adopted in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cases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Arvi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Ratital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Ganji</w:t>
      </w:r>
      <w:proofErr w:type="spellEnd"/>
      <w:r>
        <w:rPr>
          <w:rFonts w:ascii="Times New Roman" w:hAnsi="Times New Roman" w:cs="Times New Roman"/>
          <w:color w:val="000000"/>
        </w:rPr>
        <w:t xml:space="preserve">, 6 U.L.R. 237 and </w:t>
      </w:r>
      <w:r>
        <w:rPr>
          <w:rFonts w:ascii="Times New Roman" w:hAnsi="Times New Roman" w:cs="Times New Roman"/>
          <w:i/>
          <w:iCs/>
          <w:color w:val="000000"/>
        </w:rPr>
        <w:t xml:space="preserve">Uganda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Okot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H.Cr.A</w:t>
      </w:r>
      <w:proofErr w:type="spellEnd"/>
      <w:r>
        <w:rPr>
          <w:rFonts w:ascii="Times New Roman" w:hAnsi="Times New Roman" w:cs="Times New Roman"/>
          <w:color w:val="000000"/>
        </w:rPr>
        <w:t>. 83/73 (unreported). These two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cover the situation where the prosecution witnesses, though warned to attend, fail to turn up on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day of trial. It was held in </w:t>
      </w:r>
      <w:r>
        <w:rPr>
          <w:rFonts w:ascii="Times New Roman" w:hAnsi="Times New Roman" w:cs="Times New Roman"/>
          <w:color w:val="000000"/>
        </w:rPr>
        <w:lastRenderedPageBreak/>
        <w:t>both cases that in those circumstances the trial court should dismiss the case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unheard and discharge the accused person.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 there is another good reason why the chief magistrate should not have acted as 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did. It was not known whether witnesses were in existence and that they could be brought to court. All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known was that the police were still investigating the case. In my view the proper course in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circumstances would have been for the court to dismiss the case and discharge the respondents and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to acquit them.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hold that the acquittal of the respondents was erroneous in law. It occasioned a miscarriage of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justice. I set it aside and substitute the proper order dismissing the case and accordingly discharging the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 It is so ordered and to that extent this appeal succeeds.</w:t>
      </w:r>
      <w:r w:rsidR="0067786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Orioh</w:t>
      </w:r>
      <w:proofErr w:type="spellEnd"/>
    </w:p>
    <w:p w:rsidR="00202C13" w:rsidRDefault="00202C13" w:rsidP="00202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202C13" w:rsidP="00202C13">
      <w:r>
        <w:rPr>
          <w:rFonts w:ascii="Times New Roman" w:hAnsi="Times New Roman" w:cs="Times New Roman"/>
          <w:i/>
          <w:iCs/>
          <w:color w:val="000000"/>
        </w:rPr>
        <w:t xml:space="preserve">EF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Sempebwa</w:t>
      </w:r>
      <w:proofErr w:type="spellEnd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13"/>
    <w:rsid w:val="00202C13"/>
    <w:rsid w:val="003278A0"/>
    <w:rsid w:val="0067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CB912-081A-407F-A534-4199EEE5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2018-07-06T11:13:00Z</dcterms:created>
  <dcterms:modified xsi:type="dcterms:W3CDTF">2018-07-12T08:20:00Z</dcterms:modified>
</cp:coreProperties>
</file>