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DN Bahram and Company Limited and others v Tanzania Postal Bank and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others</w:t>
      </w:r>
      <w:proofErr w:type="gramEnd"/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September 2005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113/05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Extension of time – Grounds for application for extension of time to serve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respondents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 a Notice of Appeal and stay of execution.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2396E" w:rsidRDefault="00EB0494" w:rsidP="00623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three applicants through their advocate brought this application under rule 9(2)(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Rules, 1979 seeking extension of time to serve the respondents with a Notice of Appeal and stay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execution. The advocate stated that the application for leave to appeal was dismissed for want of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because he had travelled to Mombasa and his counsel was sick on the hearing date. The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Advocate, on his part at paragraph 5 of his affidavit said that he left the Notice of Appeal and the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applying for copies of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judgment, decree and proceedings at the Registry so that the Registrar would sign the same and cause the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documents to be served on the respondents.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bank however stated that the applicants were employing tactics to frustrate the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of law and that neither the alleged sickness of the applicant’s counsel nor the default to prosecute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communicated to the High Court so the material application had to be dismissed for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want of prosecution on the 16 April, 2005. They also contended that the Notice of Appeal was not served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them due to lack of diligence on the part of the applicants and their counsel and thus, the present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should be rejected for want of merit.</w:t>
      </w:r>
      <w:r w:rsidR="0062396E">
        <w:rPr>
          <w:rFonts w:ascii="Times New Roman" w:hAnsi="Times New Roman" w:cs="Times New Roman"/>
          <w:color w:val="000000"/>
        </w:rPr>
        <w:t xml:space="preserve"> </w:t>
      </w:r>
    </w:p>
    <w:p w:rsidR="0062396E" w:rsidRDefault="0062396E" w:rsidP="00623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B0494" w:rsidRDefault="00EB0494" w:rsidP="00623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supporting affidavits lack merit because if the applicant’s counsel was ill and if one of the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had travelled to Mombasa, communication would have been made to the trial court on the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scheduled hearing. Had that been done, the application for leave to appeal would not have been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for want of prosecution.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applicant’s delay in serving the respondent did not constitute sufficient ground for extending the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period of serving the Notice of Appeal on the respondent. (</w:t>
      </w:r>
      <w:r>
        <w:rPr>
          <w:rFonts w:ascii="Times New Roman" w:hAnsi="Times New Roman" w:cs="Times New Roman"/>
          <w:i/>
          <w:iCs/>
          <w:color w:val="000000"/>
        </w:rPr>
        <w:t>Inspector Sadiki and others v Gerald</w:t>
      </w:r>
      <w:r w:rsidR="0062396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[1997] TLR 290; </w:t>
      </w:r>
      <w:r>
        <w:rPr>
          <w:rFonts w:ascii="Times New Roman" w:hAnsi="Times New Roman" w:cs="Times New Roman"/>
          <w:i/>
          <w:iCs/>
          <w:color w:val="000000"/>
        </w:rPr>
        <w:t xml:space="preserve">Francis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Itengeja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Kampuni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Kusindika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Mbegu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Mafuta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[1997] TLR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149; </w:t>
      </w:r>
      <w:r>
        <w:rPr>
          <w:rFonts w:ascii="Times New Roman" w:hAnsi="Times New Roman" w:cs="Times New Roman"/>
          <w:i/>
          <w:iCs/>
          <w:color w:val="000000"/>
        </w:rPr>
        <w:t xml:space="preserve">Transport Equipment Limited v DP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Valambhia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[1993] TLR 91 applied.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lacking in merit. Failure to serve the Notice of Appeal on the respondents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rendered the intended appeal incompetent so the application for stay of execution was not sustainable in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</w:t>
      </w:r>
      <w:r w:rsidR="006239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</w:p>
    <w:p w:rsidR="0062396E" w:rsidRDefault="0062396E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Francis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Itengeja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Kampuni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Kusindika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Mbegu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Mafuta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 xml:space="preserve">[1997] TLR 149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EB0494" w:rsidRDefault="00EB0494" w:rsidP="00EB0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Inspector Sadiki and others v Gerald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[1997] TLR 290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AB7022" w:rsidRDefault="00EB0494" w:rsidP="00EB0494">
      <w:r>
        <w:rPr>
          <w:rFonts w:ascii="Times New Roman" w:hAnsi="Times New Roman" w:cs="Times New Roman"/>
          <w:i/>
          <w:iCs/>
          <w:color w:val="000000"/>
        </w:rPr>
        <w:t xml:space="preserve">Transport Equipment Limited v DP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Valambhia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[1993] TLR 91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94"/>
    <w:rsid w:val="0062396E"/>
    <w:rsid w:val="00AB7022"/>
    <w:rsid w:val="00E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AFA17-9DB0-499D-854A-6B29FCB0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2018-07-05T06:04:00Z</dcterms:created>
  <dcterms:modified xsi:type="dcterms:W3CDTF">2018-07-12T10:43:00Z</dcterms:modified>
</cp:coreProperties>
</file>