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Dave v Business Machines Ltd</w:t>
      </w:r>
    </w:p>
    <w:bookmarkEnd w:id="0"/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68 (CAN)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1974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45/1973 (24/74)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Musoke JA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Attendance – Defendant not attending – Plaintiff must prove case.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did not attend the hearing of the case brought against him by the appellant. The judge gave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relying on letters which were handed to him but not proved.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where a defence has been filed but the defendant does not attend, the plaintiff must prove his case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evidence.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Eksteen v. Kutosi </w:t>
      </w:r>
      <w:r>
        <w:rPr>
          <w:rFonts w:ascii="Times New Roman" w:hAnsi="Times New Roman" w:cs="Times New Roman"/>
          <w:color w:val="000000"/>
        </w:rPr>
        <w:t>(1951), 24 (2) K.L.R. 90.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respondent company sold some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shares to the appellant, and sued him for Shs. 60,000/- being the balance allegedly due under the contract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sale. The appellant entered an appearance and by his defence denied the debt, and pleaded that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 was conditional on certain obligations to be fulfilled by the respondent company which had not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fulfilled. On 26 July 1972, the suit was by consent fixed for hearing on 25 and 26 July 1973. On 25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July 1973, when the hearing was due to begin, Mr. Hira appeared for the appellant. He made it clear that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instructions were limited to applying for an adjournment, as the appellant had been deported to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United Kingdom and his evidence might have to be taken on commission. The judge was not impressed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this belated application in a suit which had been set down for hearing a year earlier, and rejected it out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hand, in my respectful opinion quite rightly. Mr. Hira then withdrew. The hearing then began, with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only counsel for the respondent company present, and one would have expected him to prove his case </w:t>
      </w:r>
      <w:r>
        <w:rPr>
          <w:rFonts w:ascii="Times New Roman" w:hAnsi="Times New Roman" w:cs="Times New Roman"/>
          <w:i/>
          <w:iCs/>
          <w:color w:val="000000"/>
        </w:rPr>
        <w:t>ex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parte</w:t>
      </w:r>
      <w:r>
        <w:rPr>
          <w:rFonts w:ascii="Times New Roman" w:hAnsi="Times New Roman" w:cs="Times New Roman"/>
          <w:color w:val="000000"/>
        </w:rPr>
        <w:t>, in accordance with O. 9B, r. 3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Civil Procedure (Revised) Rules, as read with s. 25 of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Procedure Act, which requires a court to hear a case before pronouncing judgment, even when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 is for a liquidated amount, when the defendant has duly entered an appearance and filed a defence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happened here. Unfortunately this was not done. What did happen, according to the record, is that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respondent company addressed the court as follows: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“Claim for liquidated sum of Shs. 60,000/- balance of purchase price of shares transferred by the plaintiff at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price of Shs. 20/- per share. Full amount Shs. 100,000/-. Shs. 40,000/- paid. Balance Shs. 60,000/-.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bundle of correspondence. Exhibit one. Pray for judgment as prayed. Defendant has not appeared.”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last statement was not correct, unless counsel meant, as I think he must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69 of [1974] 1 EA 68 (CAN)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done, that the defendant had not attended the hearing (within the meaning of O. 9B, r. 3) either in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 or through an advocate. The judge accepted the invitation to give judgment, and did so in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terms: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“This being a claim for a liquidated sum representing the balance of agreed purchase price of shares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transferred by the plaintiff to the defendant, I enter judgment as prayed for the plaintiff.”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agree with Mr. Khanna for the appellant, and with his first four grounds of appeal, that the judge had no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power to proceed as he did, and to dispense with proof of the claim before entering judgment. He appears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have done so purely because the claim was for a liquidated sum, but the suit was not brought under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summary procedure laid down by O. 35. Even then there must be affidavit evidence “verifying the cause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action and any amount claimed”. When, as in this case, the ordinary procedure applies and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has entered an appearance but failed to attend at the hearing, I would respectfully adopt what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was said by Windham, J. in </w:t>
      </w:r>
      <w:r>
        <w:rPr>
          <w:rFonts w:ascii="Times New Roman" w:hAnsi="Times New Roman" w:cs="Times New Roman"/>
          <w:i/>
          <w:iCs/>
          <w:color w:val="000000"/>
        </w:rPr>
        <w:t xml:space="preserve">Eksteen v. Kutosi </w:t>
      </w:r>
      <w:r>
        <w:rPr>
          <w:rFonts w:ascii="Times New Roman" w:hAnsi="Times New Roman" w:cs="Times New Roman"/>
          <w:color w:val="000000"/>
        </w:rPr>
        <w:t>(1951), 24 (2) K.L.R. 90, as to the correct procedure to be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followed: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“Now if an appearance had been entered and a defence filed, and if the only failure on defendant’s part had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been a failure to appear, either personally or through his advocate, on the day when the suit was called on for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hearing, then I think the plaintiff ought properly to have been called upon formally to prove his claim, that is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say, to prove everything the burden of proof of which, on the pleadings, lay on him in order to establish his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claim.”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Couldrey for the respondent company, who did not represent it in the High Court proceedings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subject of this appeal, supported the judgment on the ground that the agreed bundle of correspondence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before the judge, and that the contract relied on by the respondent company was to be found from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perusal of that correspondence. I cannot accept that proposition. So far as I am aware, the agreeing of a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bundle of correspondence amounts to no more than an admission by the parties that the letters and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documents therein contained were written or received by them, or on their behalf, respectively. It does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amount to an admission as to the truth or evidential value of the contents of those letters and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documents.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thus in my considered opinion no evidence before the judge to justify the judgment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delivered by him. I would allow this appeal, with costs; I would set aside the judgment and decree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appealed from, and direct that the suit be remitted to the High Court to be set down for hearing and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determination before another judge. I would order that the costs of the suit, including costs already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incurred, be in the discretion of the judge who hears and determines it.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Duffus P: </w:t>
      </w:r>
      <w:r>
        <w:rPr>
          <w:rFonts w:ascii="Times New Roman" w:hAnsi="Times New Roman" w:cs="Times New Roman"/>
          <w:color w:val="000000"/>
        </w:rPr>
        <w:t>I have had the advantage of reading the judgment of the Acting Vice-President.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 the appellant had entered an appearance and filed his defence but then failed to appear on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 fixed for hearing.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should have proceeded under O. 9, r. 3 of the Civil Procedure (Revised) Rules 1948 and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proceeded to hear the case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Mr. Couldrey for the respondent concedes this but submits that, in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fact, this is what the trial judge did. The record is not clear but on the face of it does appear that the trial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dealt with the matter as a claim for liquidated damages in which no appearance had been entered or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 filed. I agree, though, that it must be presumed that the judge properly dealt with the matter as an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trial, and that he relied on the correspondence admitted as exhibit 1 to establish the plaintiff’s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case, but it does appear that this correspondence was wrongly admitted.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70 of [1974] 1 EA 68 (CAN)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Letters can be put in by consent of the advocates for the parties, but in this case it was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trial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 advocate for the appellant was not present and unable therefore to agree that the letters went in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consent. It is not sufficient for the advocate who appears for the plaintiff to state from the bar that this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the agreed correspondence. The danger of this is illustrated here where the advocate for the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appellant, Mr. Khanna also states from the bar that the correspondence was only agreed subject to formal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proof at the hearing.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evidence was called to prove the plaintiff’s case and the trial judge should have called for such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and not proceeded to judgment as he did.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agree with the Acting Vice-President that this appeal must be allowed and new trial ordered. I fully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agree with the order set out in his judgment and as Musoke, J.A. also agrees, it is so ordered.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Musoke J: </w:t>
      </w:r>
      <w:r>
        <w:rPr>
          <w:rFonts w:ascii="Times New Roman" w:hAnsi="Times New Roman" w:cs="Times New Roman"/>
          <w:color w:val="000000"/>
        </w:rPr>
        <w:t>I agree.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1A6956" w:rsidRDefault="001A6956" w:rsidP="001A6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1A6956" w:rsidP="001A6956">
      <w:r>
        <w:rPr>
          <w:rFonts w:ascii="Times New Roman" w:hAnsi="Times New Roman" w:cs="Times New Roman"/>
          <w:i/>
          <w:iCs/>
          <w:color w:val="000000"/>
        </w:rPr>
        <w:t xml:space="preserve">JA Couldrey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56"/>
    <w:rsid w:val="001A6956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527D-F213-48DD-889D-6BD3714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2018-07-05T13:01:00Z</dcterms:created>
  <dcterms:modified xsi:type="dcterms:W3CDTF">2018-07-05T13:01:00Z</dcterms:modified>
</cp:coreProperties>
</file>