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Desai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Fina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Bank Ltd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21 June 2004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1308/01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Emukule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Bank – Interest – Whether bank interest rates ought to comply with the Banking Act – Whether issue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compliance will defeat statutory power of sale of charge under a legal charge when the rate was</w:t>
      </w:r>
    </w:p>
    <w:p w:rsidR="00DA2F6E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contractual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Section 44 – Banking Act (Chapter 485).</w:t>
      </w:r>
      <w:r w:rsidR="00DA2F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Civil Procedure – Interlocutory injunction – Exercise of statutory power of sale – Land under</w:t>
      </w:r>
      <w:r w:rsidR="00DA2F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charge – Applicant failing to settle despite provision of accounts – Allegation that interest charges</w:t>
      </w:r>
      <w:r w:rsidR="00DA2F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illegal and usurious – Whether bank interest regulated by the Banking Act – Whether court can interfere</w:t>
      </w:r>
      <w:r w:rsidR="00DA2F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with contractual rates of interest – Whether </w:t>
      </w:r>
      <w:r>
        <w:rPr>
          <w:rFonts w:ascii="Times New Roman" w:hAnsi="Times New Roman" w:cs="Times New Roman"/>
          <w:color w:val="000000"/>
        </w:rPr>
        <w:t xml:space="preserve">prima facie </w:t>
      </w:r>
      <w:r>
        <w:rPr>
          <w:rFonts w:ascii="Times New Roman" w:hAnsi="Times New Roman" w:cs="Times New Roman"/>
          <w:i/>
          <w:iCs/>
          <w:color w:val="000000"/>
        </w:rPr>
        <w:t>case for interference with statutory recovery had</w:t>
      </w:r>
      <w:r w:rsidR="00DA2F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been made – Where would the balance of convenience lie – Order XXXIX – Civil Procedure Rules.</w:t>
      </w:r>
      <w:r w:rsidR="00DA2F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[3] Land – Charge – Statutory power of sale – Dispute as to legality of interest charges – Whether</w:t>
      </w:r>
      <w:r w:rsidR="00DA2F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question of interest charges raises </w:t>
      </w:r>
      <w:r>
        <w:rPr>
          <w:rFonts w:ascii="Times New Roman" w:hAnsi="Times New Roman" w:cs="Times New Roman"/>
          <w:color w:val="000000"/>
        </w:rPr>
        <w:t xml:space="preserve">prima facie </w:t>
      </w:r>
      <w:r>
        <w:rPr>
          <w:rFonts w:ascii="Times New Roman" w:hAnsi="Times New Roman" w:cs="Times New Roman"/>
          <w:i/>
          <w:iCs/>
          <w:color w:val="000000"/>
        </w:rPr>
        <w:t>case at the interlocutory stage.</w:t>
      </w:r>
      <w:r w:rsidR="00DA2F6E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1F129D" w:rsidRDefault="00DA2F6E" w:rsidP="00DA2F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Editor’s </w:t>
      </w:r>
      <w:r w:rsidR="001F129D">
        <w:rPr>
          <w:rFonts w:ascii="Times New Roman" w:hAnsi="Times New Roman" w:cs="Times New Roman"/>
          <w:b/>
          <w:bCs/>
          <w:color w:val="000000"/>
        </w:rPr>
        <w:t>Summary</w:t>
      </w:r>
    </w:p>
    <w:p w:rsidR="00DA2F6E" w:rsidRDefault="001F129D" w:rsidP="00DA2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applicant filed suit and an application for injunction seeking to stop threatened exercise of </w:t>
      </w:r>
      <w:r w:rsidR="00DA2F6E">
        <w:rPr>
          <w:rFonts w:ascii="Times New Roman" w:hAnsi="Times New Roman" w:cs="Times New Roman"/>
          <w:color w:val="000000"/>
        </w:rPr>
        <w:t>statutory power</w:t>
      </w:r>
      <w:r>
        <w:rPr>
          <w:rFonts w:ascii="Times New Roman" w:hAnsi="Times New Roman" w:cs="Times New Roman"/>
          <w:color w:val="000000"/>
        </w:rPr>
        <w:t xml:space="preserve"> of sale arising out of a legal charge over some property. The applicant argued that the </w:t>
      </w:r>
      <w:r w:rsidR="00DA2F6E">
        <w:rPr>
          <w:rFonts w:ascii="Times New Roman" w:hAnsi="Times New Roman" w:cs="Times New Roman"/>
          <w:color w:val="000000"/>
        </w:rPr>
        <w:t>interest charges</w:t>
      </w:r>
      <w:r>
        <w:rPr>
          <w:rFonts w:ascii="Times New Roman" w:hAnsi="Times New Roman" w:cs="Times New Roman"/>
          <w:color w:val="000000"/>
        </w:rPr>
        <w:t xml:space="preserve"> on the loan were illegal for non-compliance with section 39 of the Central Bank of Kenya </w:t>
      </w:r>
      <w:proofErr w:type="gramStart"/>
      <w:r>
        <w:rPr>
          <w:rFonts w:ascii="Times New Roman" w:hAnsi="Times New Roman" w:cs="Times New Roman"/>
          <w:color w:val="000000"/>
        </w:rPr>
        <w:t>Act</w:t>
      </w:r>
      <w:r w:rsidR="00DA2F6E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 xml:space="preserve">subsequently repealed) and section 44 of the Banking Act (then in force). Under these provisions, it </w:t>
      </w:r>
      <w:r w:rsidR="00DA2F6E">
        <w:rPr>
          <w:rFonts w:ascii="Times New Roman" w:hAnsi="Times New Roman" w:cs="Times New Roman"/>
          <w:color w:val="000000"/>
        </w:rPr>
        <w:t>was argued</w:t>
      </w:r>
      <w:r>
        <w:rPr>
          <w:rFonts w:ascii="Times New Roman" w:hAnsi="Times New Roman" w:cs="Times New Roman"/>
          <w:color w:val="000000"/>
        </w:rPr>
        <w:t xml:space="preserve"> that bank interest rates were subject to some regulation. It was therefore stated that the </w:t>
      </w:r>
      <w:r w:rsidR="00DA2F6E">
        <w:rPr>
          <w:rFonts w:ascii="Times New Roman" w:hAnsi="Times New Roman" w:cs="Times New Roman"/>
          <w:color w:val="000000"/>
        </w:rPr>
        <w:t>interest rates</w:t>
      </w:r>
      <w:r>
        <w:rPr>
          <w:rFonts w:ascii="Times New Roman" w:hAnsi="Times New Roman" w:cs="Times New Roman"/>
          <w:color w:val="000000"/>
        </w:rPr>
        <w:t xml:space="preserve"> in the lending agreement were excessive.</w:t>
      </w:r>
      <w:r w:rsidR="00DA2F6E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The Court considered the question of interest rates, and the further question of whether the </w:t>
      </w:r>
      <w:r w:rsidR="00DA2F6E">
        <w:rPr>
          <w:rFonts w:ascii="Times New Roman" w:hAnsi="Times New Roman" w:cs="Times New Roman"/>
          <w:color w:val="000000"/>
        </w:rPr>
        <w:t>applicant had</w:t>
      </w:r>
      <w:r>
        <w:rPr>
          <w:rFonts w:ascii="Times New Roman" w:hAnsi="Times New Roman" w:cs="Times New Roman"/>
          <w:color w:val="000000"/>
        </w:rPr>
        <w:t xml:space="preserve"> established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 xml:space="preserve">case that would entitle them to obtain an injunction to stop the exercise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r w:rsidR="00DA2F6E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statutory power of sale.</w:t>
      </w:r>
      <w:r w:rsidR="00DA2F6E">
        <w:rPr>
          <w:rFonts w:ascii="Times New Roman" w:hAnsi="Times New Roman" w:cs="Times New Roman"/>
          <w:color w:val="000000"/>
        </w:rPr>
        <w:t xml:space="preserve">  </w:t>
      </w:r>
    </w:p>
    <w:p w:rsidR="00DA2F6E" w:rsidRDefault="00DA2F6E" w:rsidP="00DA2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F129D" w:rsidRDefault="001F129D" w:rsidP="00DA2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Until its repeal, section 39 of the Central Bank of Kenya Act (Chapter 491) empowered </w:t>
      </w:r>
      <w:r w:rsidR="00DA2F6E">
        <w:rPr>
          <w:rFonts w:ascii="Times New Roman" w:hAnsi="Times New Roman" w:cs="Times New Roman"/>
          <w:color w:val="000000"/>
        </w:rPr>
        <w:t>the Central</w:t>
      </w:r>
      <w:r>
        <w:rPr>
          <w:rFonts w:ascii="Times New Roman" w:hAnsi="Times New Roman" w:cs="Times New Roman"/>
          <w:color w:val="000000"/>
        </w:rPr>
        <w:t xml:space="preserve"> Bank to determine and publish maximum and minimum rates of interest. After the repeal </w:t>
      </w:r>
      <w:r w:rsidR="00DA2F6E">
        <w:rPr>
          <w:rFonts w:ascii="Times New Roman" w:hAnsi="Times New Roman" w:cs="Times New Roman"/>
          <w:color w:val="000000"/>
        </w:rPr>
        <w:t>of Chapter</w:t>
      </w:r>
      <w:r>
        <w:rPr>
          <w:rFonts w:ascii="Times New Roman" w:hAnsi="Times New Roman" w:cs="Times New Roman"/>
          <w:color w:val="000000"/>
        </w:rPr>
        <w:t xml:space="preserve"> 491, section 44 of the Banking Act (Chapter 485) remained as a regulatory provision, </w:t>
      </w:r>
      <w:r w:rsidR="00DA2F6E">
        <w:rPr>
          <w:rFonts w:ascii="Times New Roman" w:hAnsi="Times New Roman" w:cs="Times New Roman"/>
          <w:color w:val="000000"/>
        </w:rPr>
        <w:t>restricting increase</w:t>
      </w:r>
      <w:r>
        <w:rPr>
          <w:rFonts w:ascii="Times New Roman" w:hAnsi="Times New Roman" w:cs="Times New Roman"/>
          <w:color w:val="000000"/>
        </w:rPr>
        <w:t xml:space="preserve"> of “rates of banking” without prior approval of the Minister. By a subsequent circular from </w:t>
      </w:r>
      <w:bookmarkStart w:id="0" w:name="_GoBack"/>
      <w:bookmarkEnd w:id="0"/>
      <w:r w:rsidR="001F2E15">
        <w:rPr>
          <w:rFonts w:ascii="Times New Roman" w:hAnsi="Times New Roman" w:cs="Times New Roman"/>
          <w:color w:val="000000"/>
        </w:rPr>
        <w:t>the Central</w:t>
      </w:r>
      <w:r>
        <w:rPr>
          <w:rFonts w:ascii="Times New Roman" w:hAnsi="Times New Roman" w:cs="Times New Roman"/>
          <w:color w:val="000000"/>
        </w:rPr>
        <w:t xml:space="preserve"> Bank of Kenya, banks were allowed to charge any interest rate on loans and advances. </w:t>
      </w:r>
      <w:r w:rsidR="00DA2F6E">
        <w:rPr>
          <w:rFonts w:ascii="Times New Roman" w:hAnsi="Times New Roman" w:cs="Times New Roman"/>
          <w:color w:val="000000"/>
        </w:rPr>
        <w:t>The Courts</w:t>
      </w:r>
      <w:r>
        <w:rPr>
          <w:rFonts w:ascii="Times New Roman" w:hAnsi="Times New Roman" w:cs="Times New Roman"/>
          <w:color w:val="000000"/>
        </w:rPr>
        <w:t xml:space="preserve"> would therefore not interfere with contractually agreed rates of interest between lenders </w:t>
      </w:r>
      <w:r w:rsidR="00DA2F6E">
        <w:rPr>
          <w:rFonts w:ascii="Times New Roman" w:hAnsi="Times New Roman" w:cs="Times New Roman"/>
          <w:color w:val="000000"/>
        </w:rPr>
        <w:t>and borrowers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</w:rPr>
        <w:t xml:space="preserve">Pelican Investment Ltd and another v National Bank of Kenya Ltd </w:t>
      </w:r>
      <w:r>
        <w:rPr>
          <w:rFonts w:ascii="Times New Roman" w:hAnsi="Times New Roman" w:cs="Times New Roman"/>
          <w:color w:val="000000"/>
        </w:rPr>
        <w:t xml:space="preserve">[2000] 2 EA 488,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Fina</w:t>
      </w:r>
      <w:proofErr w:type="spellEnd"/>
      <w:r w:rsidR="00DA2F6E">
        <w:rPr>
          <w:rFonts w:ascii="Times New Roman" w:hAnsi="Times New Roman" w:cs="Times New Roman"/>
          <w:i/>
          <w:iCs/>
          <w:color w:val="000000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</w:rPr>
        <w:t xml:space="preserve">Bank Ltd v Spares and Industries Ltd </w:t>
      </w:r>
      <w:r>
        <w:rPr>
          <w:rFonts w:ascii="Times New Roman" w:hAnsi="Times New Roman" w:cs="Times New Roman"/>
          <w:color w:val="000000"/>
        </w:rPr>
        <w:t xml:space="preserve">[2000] 1 EA 52,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Mrao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 First American Bank of Kenya Ltd and</w:t>
      </w:r>
      <w:r w:rsidR="00DA2F6E">
        <w:rPr>
          <w:rFonts w:ascii="Times New Roman" w:hAnsi="Times New Roman" w:cs="Times New Roman"/>
          <w:i/>
          <w:iCs/>
          <w:color w:val="000000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</w:rPr>
        <w:t xml:space="preserve">others </w:t>
      </w:r>
      <w:r>
        <w:rPr>
          <w:rFonts w:ascii="Times New Roman" w:hAnsi="Times New Roman" w:cs="Times New Roman"/>
          <w:color w:val="000000"/>
        </w:rPr>
        <w:t xml:space="preserve">[2002] LLR 3801 (CAK), </w:t>
      </w:r>
      <w:r>
        <w:rPr>
          <w:rFonts w:ascii="Times New Roman" w:hAnsi="Times New Roman" w:cs="Times New Roman"/>
          <w:i/>
          <w:iCs/>
          <w:color w:val="000000"/>
        </w:rPr>
        <w:t xml:space="preserve">Morris and Co Ltd v Kenya Commercial Bank Ltd and others </w:t>
      </w:r>
      <w:r>
        <w:rPr>
          <w:rFonts w:ascii="Times New Roman" w:hAnsi="Times New Roman" w:cs="Times New Roman"/>
          <w:color w:val="000000"/>
        </w:rPr>
        <w:t>[2003] 2</w:t>
      </w:r>
      <w:r w:rsidR="00DA2F6E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EA 605 followed.</w:t>
      </w:r>
      <w:r w:rsidR="00DA2F6E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The applicants had executed the contract document which provided for payment of various </w:t>
      </w:r>
      <w:r w:rsidR="00DA2F6E">
        <w:rPr>
          <w:rFonts w:ascii="Times New Roman" w:hAnsi="Times New Roman" w:cs="Times New Roman"/>
          <w:color w:val="000000"/>
        </w:rPr>
        <w:t>interest rates</w:t>
      </w:r>
      <w:r>
        <w:rPr>
          <w:rFonts w:ascii="Times New Roman" w:hAnsi="Times New Roman" w:cs="Times New Roman"/>
          <w:color w:val="000000"/>
        </w:rPr>
        <w:t xml:space="preserve">. They received valuable consideration for </w:t>
      </w:r>
      <w:r w:rsidR="00DA2F6E">
        <w:rPr>
          <w:rFonts w:ascii="Times New Roman" w:hAnsi="Times New Roman" w:cs="Times New Roman"/>
          <w:color w:val="000000"/>
        </w:rPr>
        <w:t>the charge</w:t>
      </w:r>
      <w:r>
        <w:rPr>
          <w:rFonts w:ascii="Times New Roman" w:hAnsi="Times New Roman" w:cs="Times New Roman"/>
          <w:color w:val="000000"/>
        </w:rPr>
        <w:t xml:space="preserve"> and further charge. The statutory notices were proper. Hence, the applicant had not established </w:t>
      </w:r>
      <w:r w:rsidR="00DA2F6E">
        <w:rPr>
          <w:rFonts w:ascii="Times New Roman" w:hAnsi="Times New Roman" w:cs="Times New Roman"/>
          <w:color w:val="000000"/>
        </w:rPr>
        <w:t>a prima</w:t>
      </w:r>
      <w:r>
        <w:rPr>
          <w:rFonts w:ascii="Times New Roman" w:hAnsi="Times New Roman" w:cs="Times New Roman"/>
          <w:i/>
          <w:iCs/>
          <w:color w:val="000000"/>
        </w:rPr>
        <w:t xml:space="preserve"> facie </w:t>
      </w:r>
      <w:r>
        <w:rPr>
          <w:rFonts w:ascii="Times New Roman" w:hAnsi="Times New Roman" w:cs="Times New Roman"/>
          <w:color w:val="000000"/>
        </w:rPr>
        <w:t xml:space="preserve">case for the grant of an interlocutory injunction against exercise of the statutory power </w:t>
      </w:r>
      <w:r w:rsidR="00DA2F6E">
        <w:rPr>
          <w:rFonts w:ascii="Times New Roman" w:hAnsi="Times New Roman" w:cs="Times New Roman"/>
          <w:color w:val="000000"/>
        </w:rPr>
        <w:t>of sale</w:t>
      </w:r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 and Co Ltd </w:t>
      </w:r>
      <w:r>
        <w:rPr>
          <w:rFonts w:ascii="Times New Roman" w:hAnsi="Times New Roman" w:cs="Times New Roman"/>
          <w:color w:val="000000"/>
        </w:rPr>
        <w:t>[1973] EA 358 applied.</w:t>
      </w:r>
      <w:r w:rsidR="00DA2F6E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The applicant’s property was valued at less than the amount of the debt. The respondent was also </w:t>
      </w:r>
      <w:r w:rsidR="00DA2F6E">
        <w:rPr>
          <w:rFonts w:ascii="Times New Roman" w:hAnsi="Times New Roman" w:cs="Times New Roman"/>
          <w:color w:val="000000"/>
        </w:rPr>
        <w:t>a bank</w:t>
      </w:r>
      <w:r>
        <w:rPr>
          <w:rFonts w:ascii="Times New Roman" w:hAnsi="Times New Roman" w:cs="Times New Roman"/>
          <w:color w:val="000000"/>
        </w:rPr>
        <w:t xml:space="preserve"> that could compensate the applicant subsequently. Hence, the applicant would not suffer </w:t>
      </w:r>
      <w:r w:rsidR="00DA2F6E">
        <w:rPr>
          <w:rFonts w:ascii="Times New Roman" w:hAnsi="Times New Roman" w:cs="Times New Roman"/>
          <w:color w:val="000000"/>
        </w:rPr>
        <w:t>any irreparable</w:t>
      </w:r>
      <w:r>
        <w:rPr>
          <w:rFonts w:ascii="Times New Roman" w:hAnsi="Times New Roman" w:cs="Times New Roman"/>
          <w:color w:val="000000"/>
        </w:rPr>
        <w:t xml:space="preserve"> loss nor would the balance of convenience fall in his favour.</w:t>
      </w:r>
      <w:r w:rsidR="00DA2F6E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Application dismissed.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ruling: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Fina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Ltd v Desai and another </w:t>
      </w:r>
      <w:proofErr w:type="spellStart"/>
      <w:r>
        <w:rPr>
          <w:rFonts w:ascii="Times New Roman" w:hAnsi="Times New Roman" w:cs="Times New Roman"/>
          <w:color w:val="000000"/>
        </w:rPr>
        <w:t>Milimini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 case number 513 of 2003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Fina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Ltd v Spares and Industries Ltd </w:t>
      </w:r>
      <w:r>
        <w:rPr>
          <w:rFonts w:ascii="Times New Roman" w:hAnsi="Times New Roman" w:cs="Times New Roman"/>
          <w:color w:val="000000"/>
        </w:rPr>
        <w:t xml:space="preserve">[2000] 1 EA 52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lastRenderedPageBreak/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 and Co Ltd </w:t>
      </w:r>
      <w:r>
        <w:rPr>
          <w:rFonts w:ascii="Times New Roman" w:hAnsi="Times New Roman" w:cs="Times New Roman"/>
          <w:color w:val="000000"/>
        </w:rPr>
        <w:t xml:space="preserve">[1973] EA 358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Morris and Co Ltd v Kenya Commercial Bank Ltd and others </w:t>
      </w:r>
      <w:r>
        <w:rPr>
          <w:rFonts w:ascii="Times New Roman" w:hAnsi="Times New Roman" w:cs="Times New Roman"/>
          <w:color w:val="000000"/>
        </w:rPr>
        <w:t xml:space="preserve">[2003] 2 EA 605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Mrao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 First American Bank of Kenya Ltd and others </w:t>
      </w:r>
      <w:r>
        <w:rPr>
          <w:rFonts w:ascii="Times New Roman" w:hAnsi="Times New Roman" w:cs="Times New Roman"/>
          <w:color w:val="000000"/>
        </w:rPr>
        <w:t xml:space="preserve">[2002] LLR 3801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Pelican Investment Ltd and another v National Bank of Kenya Ltd </w:t>
      </w:r>
      <w:r>
        <w:rPr>
          <w:rFonts w:ascii="Times New Roman" w:hAnsi="Times New Roman" w:cs="Times New Roman"/>
          <w:color w:val="000000"/>
        </w:rPr>
        <w:t xml:space="preserve">[2000] 2 EA 488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F129D" w:rsidRDefault="001F129D" w:rsidP="001F1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E97396" w:rsidRDefault="001F129D" w:rsidP="001F129D">
      <w:r>
        <w:rPr>
          <w:rFonts w:ascii="Times New Roman" w:hAnsi="Times New Roman" w:cs="Times New Roman"/>
          <w:i/>
          <w:iCs/>
          <w:color w:val="000000"/>
        </w:rPr>
        <w:t xml:space="preserve">Clarion Ltd and others v National Provident Institution </w:t>
      </w:r>
      <w:r>
        <w:rPr>
          <w:rFonts w:ascii="Times New Roman" w:hAnsi="Times New Roman" w:cs="Times New Roman"/>
          <w:color w:val="000000"/>
        </w:rPr>
        <w:t xml:space="preserve">[2000] 2 All ER 265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9D"/>
    <w:rsid w:val="001F129D"/>
    <w:rsid w:val="001F2E15"/>
    <w:rsid w:val="00DA2F6E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19F35-A4F3-4992-AD27-9B362258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2018-07-03T13:31:00Z</dcterms:created>
  <dcterms:modified xsi:type="dcterms:W3CDTF">2018-07-12T08:30:00Z</dcterms:modified>
</cp:coreProperties>
</file>