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20F" w:rsidRDefault="007F120F" w:rsidP="007F1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Desai and others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Fina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Bank Ltd</w:t>
      </w:r>
    </w:p>
    <w:p w:rsidR="007F120F" w:rsidRDefault="007F120F" w:rsidP="007F1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proofErr w:type="spellStart"/>
      <w:r>
        <w:rPr>
          <w:rFonts w:ascii="Times New Roman" w:hAnsi="Times New Roman" w:cs="Times New Roman"/>
          <w:color w:val="000000"/>
        </w:rPr>
        <w:t>Milimani</w:t>
      </w:r>
      <w:proofErr w:type="spellEnd"/>
      <w:r>
        <w:rPr>
          <w:rFonts w:ascii="Times New Roman" w:hAnsi="Times New Roman" w:cs="Times New Roman"/>
          <w:color w:val="000000"/>
        </w:rPr>
        <w:t xml:space="preserve"> Commercial Courts of Kenya at Nairobi</w:t>
      </w:r>
    </w:p>
    <w:p w:rsidR="007F120F" w:rsidRDefault="007F120F" w:rsidP="007F1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21 June 2004</w:t>
      </w:r>
    </w:p>
    <w:p w:rsidR="007F120F" w:rsidRDefault="007F120F" w:rsidP="007F1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1308/01</w:t>
      </w:r>
    </w:p>
    <w:p w:rsidR="007F120F" w:rsidRDefault="007F120F" w:rsidP="007F1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Emukule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7F120F" w:rsidRDefault="007F120F" w:rsidP="007F1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7F120F" w:rsidRDefault="007F120F" w:rsidP="007F1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C </w:t>
      </w:r>
      <w:proofErr w:type="spellStart"/>
      <w:r>
        <w:rPr>
          <w:rFonts w:ascii="Times New Roman" w:hAnsi="Times New Roman" w:cs="Times New Roman"/>
          <w:color w:val="000000"/>
        </w:rPr>
        <w:t>Kanjama</w:t>
      </w:r>
      <w:proofErr w:type="spellEnd"/>
    </w:p>
    <w:p w:rsidR="0062463F" w:rsidRDefault="007F120F" w:rsidP="006246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Bank – Interest – Whether bank interest rates ought to comply with the Banking Act – Whether issue</w:t>
      </w:r>
      <w:r w:rsidR="0062463F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of compliance will defeat statutory power of sale of charge under a legal charge when the rate was</w:t>
      </w:r>
      <w:r w:rsidR="0062463F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contractual – Section 44 – Banking Act (Chapter 485).</w:t>
      </w:r>
      <w:r w:rsidR="0062463F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[2] Civil Procedure – Interlocutory injunction – Exercise of statutory power of sale – Land under</w:t>
      </w:r>
      <w:r w:rsidR="0062463F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charge – Applicant failing to settle despite provision of accounts – Allegation that interest charges</w:t>
      </w:r>
      <w:r w:rsidR="0062463F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illegal and usurious – Whether bank interest regulated by the Banking Act – Whether court can interfere</w:t>
      </w:r>
      <w:r w:rsidR="0062463F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with contractual rates of interest – Whether </w:t>
      </w:r>
      <w:r>
        <w:rPr>
          <w:rFonts w:ascii="Times New Roman" w:hAnsi="Times New Roman" w:cs="Times New Roman"/>
          <w:color w:val="000000"/>
        </w:rPr>
        <w:t xml:space="preserve">prima facie </w:t>
      </w:r>
      <w:r>
        <w:rPr>
          <w:rFonts w:ascii="Times New Roman" w:hAnsi="Times New Roman" w:cs="Times New Roman"/>
          <w:i/>
          <w:iCs/>
          <w:color w:val="000000"/>
        </w:rPr>
        <w:t>case for interference with statutory recovery had</w:t>
      </w:r>
      <w:r w:rsidR="0062463F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been made – Where would the balance of convenience lie – Order XXXIX – Civil Procedure Rules.</w:t>
      </w:r>
      <w:r w:rsidR="0062463F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[3] Land – Charge – Statutory power of sale – Dispute as to legality of interest charges – Whether</w:t>
      </w:r>
      <w:r w:rsidR="0062463F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question of interest charges raises </w:t>
      </w:r>
      <w:r>
        <w:rPr>
          <w:rFonts w:ascii="Times New Roman" w:hAnsi="Times New Roman" w:cs="Times New Roman"/>
          <w:color w:val="000000"/>
        </w:rPr>
        <w:t xml:space="preserve">prima facie </w:t>
      </w:r>
      <w:r>
        <w:rPr>
          <w:rFonts w:ascii="Times New Roman" w:hAnsi="Times New Roman" w:cs="Times New Roman"/>
          <w:i/>
          <w:iCs/>
          <w:color w:val="000000"/>
        </w:rPr>
        <w:t>case at the interlocutory stage.</w:t>
      </w:r>
      <w:r w:rsidR="0062463F">
        <w:rPr>
          <w:rFonts w:ascii="Times New Roman" w:hAnsi="Times New Roman" w:cs="Times New Roman"/>
          <w:i/>
          <w:iCs/>
          <w:color w:val="000000"/>
        </w:rPr>
        <w:t xml:space="preserve"> </w:t>
      </w:r>
    </w:p>
    <w:p w:rsidR="0062463F" w:rsidRDefault="0062463F" w:rsidP="006246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</w:rPr>
      </w:pPr>
    </w:p>
    <w:p w:rsidR="007F120F" w:rsidRDefault="0062463F" w:rsidP="0062463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RULING</w:t>
      </w:r>
    </w:p>
    <w:p w:rsidR="007F120F" w:rsidRDefault="007F120F" w:rsidP="006246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EMUKULE J: </w:t>
      </w:r>
      <w:r>
        <w:rPr>
          <w:rFonts w:ascii="Times New Roman" w:hAnsi="Times New Roman" w:cs="Times New Roman"/>
          <w:color w:val="000000"/>
        </w:rPr>
        <w:t>The application herein was filed on 24 August 2001 and was brought by way of a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chamber summons under Order XXXIX, rules 1, 2, 3 and 9 of the Civil Procedure Rules, inherent powers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Court, and all enabling provisions of the law. The application was supported by the affidavit of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Ranjnikant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Jashbhai</w:t>
      </w:r>
      <w:proofErr w:type="spellEnd"/>
      <w:r>
        <w:rPr>
          <w:rFonts w:ascii="Times New Roman" w:hAnsi="Times New Roman" w:cs="Times New Roman"/>
          <w:color w:val="000000"/>
        </w:rPr>
        <w:t xml:space="preserve"> Desai sworn on 24 February 2001. The plaintiff sought the following material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orders: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(1) That the defendant, whether by its servants or agents or advocates or advisers or any kind or otherwise</w:t>
      </w:r>
      <w:r w:rsidR="0062463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howsoever be restrained from doing the following acts or any of them, that is to say further advertising</w:t>
      </w:r>
      <w:r w:rsidR="0062463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for sale selling by public auction or private treaty or otherwise howsoever at any time or by completing</w:t>
      </w:r>
      <w:r w:rsidR="0062463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conveyance or transfer of any sale concluded by private treaty or otherwise howsoever of all that</w:t>
      </w:r>
      <w:r w:rsidR="0062463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property known as land registration number 7750 situated in Nairobi together with any improvements</w:t>
      </w:r>
      <w:r w:rsidR="0062463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thereon pending the hearing and determination of this suit.</w:t>
      </w:r>
      <w:r w:rsidR="0062463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(2) A true statement of account commencing the year 1994 to date in respect of banking facilities granted</w:t>
      </w:r>
      <w:r w:rsidR="0062463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the plaintiff by the defendant be provided by the defendant;</w:t>
      </w:r>
      <w:r w:rsidR="0062463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This being initially an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application the plaintiff was granted these orders on 29 August 2001. This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situation persisted until the 3 February 2003 when the following consent orders were recorded: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(a) That the intended sale be and is hereby put off on account of the defective auctioneers notices;</w:t>
      </w:r>
      <w:r w:rsidR="0062463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(b) That the parties wish to examine accounts; and</w:t>
      </w:r>
      <w:r w:rsidR="0062463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(c) That the matter be mentioned on 27 February 2003.</w:t>
      </w:r>
      <w:r w:rsidR="0062463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When the matter was mentioned on 27 March 2003, the defendant had replaced the illegible copies of the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statement of account with legible ones. Thereafter the plaintiff seems to have gone into hibernation until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woken up by the orders made in </w:t>
      </w:r>
      <w:proofErr w:type="spellStart"/>
      <w:r>
        <w:rPr>
          <w:rFonts w:ascii="Times New Roman" w:hAnsi="Times New Roman" w:cs="Times New Roman"/>
          <w:color w:val="000000"/>
        </w:rPr>
        <w:t>Milimani</w:t>
      </w:r>
      <w:proofErr w:type="spellEnd"/>
      <w:r>
        <w:rPr>
          <w:rFonts w:ascii="Times New Roman" w:hAnsi="Times New Roman" w:cs="Times New Roman"/>
          <w:color w:val="000000"/>
        </w:rPr>
        <w:t xml:space="preserve"> Commercial Court case number 513 of 2003 (OS) between the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defendant,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Fina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Bank Ltd v Desai and another </w:t>
      </w:r>
      <w:r>
        <w:rPr>
          <w:rFonts w:ascii="Times New Roman" w:hAnsi="Times New Roman" w:cs="Times New Roman"/>
          <w:color w:val="000000"/>
        </w:rPr>
        <w:t xml:space="preserve">in which </w:t>
      </w:r>
      <w:proofErr w:type="spellStart"/>
      <w:r>
        <w:rPr>
          <w:rFonts w:ascii="Times New Roman" w:hAnsi="Times New Roman" w:cs="Times New Roman"/>
          <w:color w:val="000000"/>
        </w:rPr>
        <w:t>Mwera</w:t>
      </w:r>
      <w:proofErr w:type="spellEnd"/>
      <w:r>
        <w:rPr>
          <w:rFonts w:ascii="Times New Roman" w:hAnsi="Times New Roman" w:cs="Times New Roman"/>
          <w:color w:val="000000"/>
        </w:rPr>
        <w:t xml:space="preserve"> J granted the defendant access to the suit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property and to sell it by private treaty. Following these orders the plaintiff filed a further application in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this cause on 23 December 2003 and obtained orders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restraining the defendant from dealing with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suit property whether by way of sale or otherwise pending the hearing and determination of the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dated 24 August 2001. The plaintiffs were also ordered to re-serve the said application for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hearing on 6 January 2004.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However, before the hearing of the said application on 6 January 2004, the defendant also filed a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further application on 5 January 2004. When the matter came up for hearing on 6 January 2004 the </w:t>
      </w:r>
      <w:r>
        <w:rPr>
          <w:rFonts w:ascii="Times New Roman" w:hAnsi="Times New Roman" w:cs="Times New Roman"/>
          <w:i/>
          <w:iCs/>
          <w:color w:val="000000"/>
        </w:rPr>
        <w:t>ex</w:t>
      </w:r>
      <w:r w:rsidR="0062463F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parte </w:t>
      </w:r>
      <w:r>
        <w:rPr>
          <w:rFonts w:ascii="Times New Roman" w:hAnsi="Times New Roman" w:cs="Times New Roman"/>
          <w:color w:val="000000"/>
        </w:rPr>
        <w:t>orders of injunction granted to the plaintiffs on 23 December 2003 were vacated. Thus when this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matter was urged before me on 16 January 2004, 21 January 2004, 3 February 2004 and 17 February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2004 there was in fact no injunction in place against the defendant who could thus have proceeded to sell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suit property but was because of these proceedings prudent enough not to sell. I think both counsel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overlooked the final sentence of the ruling of </w:t>
      </w:r>
      <w:proofErr w:type="spellStart"/>
      <w:r>
        <w:rPr>
          <w:rFonts w:ascii="Times New Roman" w:hAnsi="Times New Roman" w:cs="Times New Roman"/>
          <w:color w:val="000000"/>
        </w:rPr>
        <w:t>Kasango</w:t>
      </w:r>
      <w:proofErr w:type="spellEnd"/>
      <w:r>
        <w:rPr>
          <w:rFonts w:ascii="Times New Roman" w:hAnsi="Times New Roman" w:cs="Times New Roman"/>
          <w:color w:val="000000"/>
        </w:rPr>
        <w:t xml:space="preserve"> J on 6 January 2004. Secondly </w:t>
      </w:r>
      <w:proofErr w:type="spellStart"/>
      <w:r>
        <w:rPr>
          <w:rFonts w:ascii="Times New Roman" w:hAnsi="Times New Roman" w:cs="Times New Roman"/>
          <w:color w:val="000000"/>
        </w:rPr>
        <w:t>Kasango</w:t>
      </w:r>
      <w:proofErr w:type="spellEnd"/>
      <w:r>
        <w:rPr>
          <w:rFonts w:ascii="Times New Roman" w:hAnsi="Times New Roman" w:cs="Times New Roman"/>
          <w:color w:val="000000"/>
        </w:rPr>
        <w:t xml:space="preserve"> J said: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“In regard to the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ex parte </w:t>
      </w:r>
      <w:r>
        <w:rPr>
          <w:rFonts w:ascii="Times New Roman" w:hAnsi="Times New Roman" w:cs="Times New Roman"/>
          <w:color w:val="000000"/>
          <w:sz w:val="20"/>
          <w:szCs w:val="20"/>
        </w:rPr>
        <w:t>orders granted by this Court on 23 December 2003, the Court finds its hands tied by</w:t>
      </w:r>
      <w:r w:rsidR="0062463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Order XXXIX, rule 3(2) which states that an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ex parte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order cannot be extended and accordingly the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ex parte</w:t>
      </w:r>
      <w:r w:rsidR="0062463F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order granted hereof is not extended. The plaintiff’s application dated 24 August 2001 is hereby adjourned to</w:t>
      </w:r>
      <w:r w:rsidR="0062463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16 January 2004”.</w:t>
      </w:r>
      <w:r w:rsidR="0062463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Thus when I ordered after the hearing of 16 January 2004, that the </w:t>
      </w:r>
      <w:r>
        <w:rPr>
          <w:rFonts w:ascii="Times New Roman" w:hAnsi="Times New Roman" w:cs="Times New Roman"/>
          <w:i/>
          <w:iCs/>
          <w:color w:val="000000"/>
        </w:rPr>
        <w:t xml:space="preserve">status quo </w:t>
      </w:r>
      <w:r>
        <w:rPr>
          <w:rFonts w:ascii="Times New Roman" w:hAnsi="Times New Roman" w:cs="Times New Roman"/>
          <w:color w:val="000000"/>
        </w:rPr>
        <w:t>be maintained until 21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January </w:t>
      </w:r>
      <w:r>
        <w:rPr>
          <w:rFonts w:ascii="Times New Roman" w:hAnsi="Times New Roman" w:cs="Times New Roman"/>
          <w:color w:val="000000"/>
        </w:rPr>
        <w:lastRenderedPageBreak/>
        <w:t>2004, and again on 21 January 2004 to 3 February 2004, all that was really meant is that the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 would not in any way deal with the suit property until determination of this application. There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however no order to stop the defendant from dealing with the property by way of sale, for instance.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defendant is to be commended for maintaining this position. When this matter was urged before me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both counsel for the plaintiff and the defendant for a good part of three mornings and two afternoons,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seven broad issues emerged. These are: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(1)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reconciliation of accounts by the defendant.</w:t>
      </w:r>
      <w:r w:rsidR="0062463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(2) Rate of interest application to the moneys advanced under the charge and further charge.</w:t>
      </w:r>
      <w:r w:rsidR="0062463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(3) The validity of consideration for the charges.</w:t>
      </w:r>
      <w:r w:rsidR="0062463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(4) The identity and value of the suit property.</w:t>
      </w:r>
      <w:r w:rsidR="0062463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(5) The marking of exhibits made under the Oaths and Statutory Declarations Act (Chapter 5) Laws of</w:t>
      </w:r>
      <w:r w:rsidR="0062463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Kenya.</w:t>
      </w:r>
      <w:r w:rsidR="0062463F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>
        <w:rPr>
          <w:rFonts w:ascii="Times New Roman" w:hAnsi="Times New Roman" w:cs="Times New Roman"/>
          <w:color w:val="000000"/>
          <w:sz w:val="20"/>
          <w:szCs w:val="20"/>
        </w:rPr>
        <w:t>(6) The validity of the notices.</w:t>
      </w:r>
      <w:r w:rsidR="0062463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(7) The issue of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res judicata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62463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 now take each of these broad issues. By the consent order made on 3 February 2003, the parties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expressed a wish to examine accounts. This order was curiously worded parties “wished”. This wish was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followed by the defendant furnishing the plaintiff with a statement of account twice as the first copies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said to be illegible. Nothing turned on these accounts at the hearing of the application and I take it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amount as expressed in the legible statement supplied by the defendant is the proper amount.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question of the applicable rate of interest generated more heat. Counsel for the plaintiff opined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rates of interest charged by the defendant were contrary to the provisions of section 44 of the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Banking Act (Chapter 488) Laws of Kenya </w:t>
      </w:r>
      <w:r>
        <w:rPr>
          <w:rFonts w:ascii="Times New Roman" w:hAnsi="Times New Roman" w:cs="Times New Roman"/>
          <w:i/>
          <w:iCs/>
          <w:color w:val="000000"/>
        </w:rPr>
        <w:t xml:space="preserve">vis-à-vis </w:t>
      </w:r>
      <w:r>
        <w:rPr>
          <w:rFonts w:ascii="Times New Roman" w:hAnsi="Times New Roman" w:cs="Times New Roman"/>
          <w:color w:val="000000"/>
        </w:rPr>
        <w:t>section 39 of the Central Bank of Kenya Act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(Chapter 491) before its repeal by Act number 4 of 2001. Until its repeal section 39 of the Central Bank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Kenya Act (CBK Act) empowered CBK in consultation with the Minister for Finance to determine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publish the maximum and minimum rates of interest which specified the amounts banks or specified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financial institutions may pay on deposits and charges for loans or advances. CBK again in consultation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the Minister could also determine different rates of interest for different types of specified bank and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financial institutions. These restrictions had been introduced by section 9 of the Finance Act of 1980,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(number 10 of 1980), to regulate interest rates by specified banks and financial institutions.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By virtue of this section 39, the Governor of CBK published </w:t>
      </w:r>
      <w:r>
        <w:rPr>
          <w:rFonts w:ascii="Times New Roman" w:hAnsi="Times New Roman" w:cs="Times New Roman"/>
          <w:i/>
          <w:iCs/>
          <w:color w:val="000000"/>
        </w:rPr>
        <w:t xml:space="preserve">Gazette </w:t>
      </w:r>
      <w:r>
        <w:rPr>
          <w:rFonts w:ascii="Times New Roman" w:hAnsi="Times New Roman" w:cs="Times New Roman"/>
          <w:color w:val="000000"/>
        </w:rPr>
        <w:t>notice number 1617 dated 2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April 1990 which fixed the minimum rate of interest payable by specified banks and specified financial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institutions on deposits on savings and also the maximum rate of interest which specified banks and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specified financial institutions may charge for loans or advances granted for a term not exceeding 3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years. Following the repeal of this Act by Act number 4 of 2001, </w:t>
      </w:r>
      <w:r>
        <w:rPr>
          <w:rFonts w:ascii="Times New Roman" w:hAnsi="Times New Roman" w:cs="Times New Roman"/>
          <w:i/>
          <w:iCs/>
          <w:color w:val="000000"/>
        </w:rPr>
        <w:t xml:space="preserve">Gazette </w:t>
      </w:r>
      <w:r>
        <w:rPr>
          <w:rFonts w:ascii="Times New Roman" w:hAnsi="Times New Roman" w:cs="Times New Roman"/>
          <w:color w:val="000000"/>
        </w:rPr>
        <w:t>number 1617 of 1990 was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revoked by </w:t>
      </w:r>
      <w:r>
        <w:rPr>
          <w:rFonts w:ascii="Times New Roman" w:hAnsi="Times New Roman" w:cs="Times New Roman"/>
          <w:i/>
          <w:iCs/>
          <w:color w:val="000000"/>
        </w:rPr>
        <w:t xml:space="preserve">Gazette </w:t>
      </w:r>
      <w:r>
        <w:rPr>
          <w:rFonts w:ascii="Times New Roman" w:hAnsi="Times New Roman" w:cs="Times New Roman"/>
          <w:color w:val="000000"/>
        </w:rPr>
        <w:t>notice number 3348 of 23 July 1991. This effectively ended the regime of interest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rate controls by the CBK on specified banks and specified financial institutions.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Those charged with the regulation of specified banks and/or financial institutions must have had good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reasons for removing power to fix interest rates on banks and financial institutions, but retaining the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identical powers of control of interest rates and penalties charged by building societies. For under section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39A of the Central Bank of Kenya the CBK may in consultation with the Minister: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determine and publish the maximum and minimum rates of interest which building societies registered</w:t>
      </w:r>
      <w:r w:rsidR="0062463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under the Building Societies Act may pay on deposits and charge for loans, advances and mortgages.</w:t>
      </w:r>
      <w:r w:rsidR="0062463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determine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maximum or vary deposit, financial or other charges, including penalties and forfeitures</w:t>
      </w:r>
      <w:r w:rsidR="0062463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which may be imposed by a society on a member or borrower”.</w:t>
      </w:r>
      <w:r w:rsidR="0062463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greater control is of course the provisions of section 44 of the Banking Act (Chapter 485) (Rev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1991) which imposes restrictions on increases in Bank charges. It says: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“44. No institution shall increase its rate of banking or other charges except with the prior approval of the</w:t>
      </w:r>
      <w:r w:rsidR="0062463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Minister”.</w:t>
      </w:r>
      <w:r w:rsidR="0062463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question which begs an answer is what is the meaning of “institution” under this section. The second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question is what is meant by “its rate of banking or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other charges”? The first question is easily answered because the expression “institution” is defined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the Banking Act as a “bank or financial institution”. Both are licensed under section 3 of the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Banking Act, and in the case of a financial institution there is also a declaration by the Minister by notice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the </w:t>
      </w:r>
      <w:r>
        <w:rPr>
          <w:rFonts w:ascii="Times New Roman" w:hAnsi="Times New Roman" w:cs="Times New Roman"/>
          <w:i/>
          <w:iCs/>
          <w:color w:val="000000"/>
        </w:rPr>
        <w:t xml:space="preserve">Gazette </w:t>
      </w:r>
      <w:r>
        <w:rPr>
          <w:rFonts w:ascii="Times New Roman" w:hAnsi="Times New Roman" w:cs="Times New Roman"/>
          <w:color w:val="000000"/>
        </w:rPr>
        <w:t>that it be a financial institution. There is a secondary question which may be posed before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tackle the question of the meaning of its “rate of banking or other charges.” It is this, is section 44 of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Banking Act a secret weapon by the Minister for Finance to be applied at some time on banks and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financial institutions if their rates of banking or other charges are in the reasonable opinion of the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Minister excessive? If this is so, “the rate of banking and other charges” must logically include interest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rates (and also other charges – “commitment fees, late payment fees, miscellaneous charges” which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banks and financial institutions charge on daily basis).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Section 44 above-mentioned must however be read together with the </w:t>
      </w:r>
      <w:r>
        <w:rPr>
          <w:rFonts w:ascii="Times New Roman" w:hAnsi="Times New Roman" w:cs="Times New Roman"/>
          <w:color w:val="000000"/>
        </w:rPr>
        <w:lastRenderedPageBreak/>
        <w:t>provisions of section 45(1) and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(2) of the Act which provide as follows: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45 (1) The Minister shall consult with the Central Bank in the exercise of his functions under this Act,</w:t>
      </w:r>
      <w:r w:rsidR="0062463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( 2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w here approval of the Minister is required under any provision of this Act, the application for</w:t>
      </w:r>
      <w:r w:rsidR="0062463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such approval shall be submitted through the Central Bank.</w:t>
      </w:r>
      <w:r w:rsidR="0062463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a supplementary affidavit by Francis Robert </w:t>
      </w:r>
      <w:proofErr w:type="spellStart"/>
      <w:r>
        <w:rPr>
          <w:rFonts w:ascii="Times New Roman" w:hAnsi="Times New Roman" w:cs="Times New Roman"/>
          <w:color w:val="000000"/>
        </w:rPr>
        <w:t>Kinyanjui</w:t>
      </w:r>
      <w:proofErr w:type="spellEnd"/>
      <w:r>
        <w:rPr>
          <w:rFonts w:ascii="Times New Roman" w:hAnsi="Times New Roman" w:cs="Times New Roman"/>
          <w:color w:val="000000"/>
        </w:rPr>
        <w:t xml:space="preserve"> a senior relationship officer of the defendant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sworn on 30 January 2004 and filed in court on the same day the said deponent says in paragraphs 4 of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affidavit: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“That the provisions of section 44 have been addressed by the Central Bank which has advised the defendant</w:t>
      </w:r>
      <w:r w:rsidR="0062463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that interest rate is not included among charges covered by the provisions of that section”.</w:t>
      </w:r>
      <w:r w:rsidR="0062463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Annexed to the said supporting affidavit are two circulars, one dated 17 June 2003, entitled “Banking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Circular number 03 of 2003, addressed to all chief executives, commercial banks non-bank financial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institutions and mortgage finance companies. The circulars encapsulates broad areas of the CBK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jurisdiction over financial institutions. The concern here is with two of those segments, namely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compliance with section 44 of the Banking Act and savings deposit and lending rates. With regard to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compliance with section 44 of the Act, the circular requires: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(1) “all institutions licensed under the Banking Act to submit to the Minister through the Central Bank the</w:t>
      </w:r>
      <w:r w:rsidR="0062463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list of all current banking or other charges. This information must be forwarded to the Central Bank on</w:t>
      </w:r>
      <w:r w:rsidR="0062463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or before 30 June 2003.</w:t>
      </w:r>
      <w:r w:rsidR="0062463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(2) Institutions licensed under the Banking Act shall ensure that they comply with the provisions of section</w:t>
      </w:r>
      <w:r w:rsidR="0062463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44 of the Banking Act”.</w:t>
      </w:r>
      <w:r w:rsidR="0062463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On savings, deposit and lending rates, the circular provides: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(3) “Commercial Banks, </w:t>
      </w:r>
      <w:r w:rsidR="0062463F">
        <w:rPr>
          <w:rFonts w:ascii="Times New Roman" w:hAnsi="Times New Roman" w:cs="Times New Roman"/>
          <w:color w:val="000000"/>
          <w:sz w:val="20"/>
          <w:szCs w:val="20"/>
        </w:rPr>
        <w:t>non-bank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financial institutions mortgage finance companies and building</w:t>
      </w:r>
      <w:r w:rsidR="0062463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societies will be required to maintain savings rates positive against the annual average underlying rate</w:t>
      </w:r>
      <w:r w:rsidR="0062463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inflation”.</w:t>
      </w:r>
      <w:r w:rsidR="0062463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their own circular number 62 of 2003, reference KBA/</w:t>
      </w:r>
      <w:proofErr w:type="spellStart"/>
      <w:r>
        <w:rPr>
          <w:rFonts w:ascii="Times New Roman" w:hAnsi="Times New Roman" w:cs="Times New Roman"/>
          <w:color w:val="000000"/>
        </w:rPr>
        <w:t>Ch</w:t>
      </w:r>
      <w:proofErr w:type="spellEnd"/>
      <w:r>
        <w:rPr>
          <w:rFonts w:ascii="Times New Roman" w:hAnsi="Times New Roman" w:cs="Times New Roman"/>
          <w:color w:val="000000"/>
        </w:rPr>
        <w:t>/12/2003 which sadly lacks a date of issue,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but is receipt dated 24 June 2003, the Association’s Chief Officer, I think, with respect, correctly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advising its members to comply with the Act, Central Bank Circular (issued in terms of the Banking Act)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to submit their tariffs before 30 June 2003 for approval of the Minister adds the following paragraph: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 w:rsidR="0062463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“Current Banking and other charges” as stipulated in the circular refers to direct banking charges that attract</w:t>
      </w:r>
      <w:r w:rsidR="0062463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levies for services a bank directly provides. Third party charges or interest are not included”.</w:t>
      </w:r>
      <w:r w:rsidR="0062463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This unfortunately is an interpretation by the Kenya Bankers Association. The Central Bank Circular is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silent on the issue of lending rates. Perhaps this is deliberate or is merely an omission to elaborate on the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title to that particular subject. All the circular, however does is to enclose a revised form (Table F CBK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BS (M)-Return) leaving it to the banks and financial institutions to fill in their rates.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am not called upon to give any interpretation to the Central Bank Circular number 3 of 2003, and in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particular the item dealing with savings deposits and mortgages but I think what it conveyed to the banks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 financial institutions is that they are free to pay for deposits and charge any interest rate, on loans and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advances but such interest paid on deposit received and interest on loans or advances made, shall be such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would maintain a savings rate and an interest lending rate that is positive against the annual average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underlying rate of inflation. This is clearly so from an examination of revised table F of CBK BS (M)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Return on money market transactions and covers both inter-bank transactions savings and deposit rates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lending rates divided into local currency and foreign currency and covering maturities of 0 year to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over 10 years.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Thus in litigated cases, the Courts have, started with the case of </w:t>
      </w:r>
      <w:r>
        <w:rPr>
          <w:rFonts w:ascii="Times New Roman" w:hAnsi="Times New Roman" w:cs="Times New Roman"/>
          <w:i/>
          <w:iCs/>
          <w:color w:val="000000"/>
        </w:rPr>
        <w:t>Pelican Investment Ltd and another v</w:t>
      </w:r>
      <w:r w:rsidR="0062463F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National Bank of Kenya Ltd </w:t>
      </w:r>
      <w:r>
        <w:rPr>
          <w:rFonts w:ascii="Times New Roman" w:hAnsi="Times New Roman" w:cs="Times New Roman"/>
          <w:color w:val="000000"/>
        </w:rPr>
        <w:t>[2000] 2 EA 488, consistently held, and quite correctly if I may so, that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courts will not interfere on matters of interest charged arising from contract. Onyango </w:t>
      </w:r>
      <w:proofErr w:type="spellStart"/>
      <w:r>
        <w:rPr>
          <w:rFonts w:ascii="Times New Roman" w:hAnsi="Times New Roman" w:cs="Times New Roman"/>
          <w:color w:val="000000"/>
        </w:rPr>
        <w:t>Otieno</w:t>
      </w:r>
      <w:proofErr w:type="spellEnd"/>
      <w:r>
        <w:rPr>
          <w:rFonts w:ascii="Times New Roman" w:hAnsi="Times New Roman" w:cs="Times New Roman"/>
          <w:color w:val="000000"/>
        </w:rPr>
        <w:t xml:space="preserve"> J as he then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posed the question whether courts should intervene in such matters, and this was his answer at page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10 of his ruling in this case: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“Should the Court intervene in such matter? I do believe that where it is plain to the Court that fraud existed</w:t>
      </w:r>
      <w:r w:rsidR="0062463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when such contracts were entered into or where one party used its superior position to force another into such</w:t>
      </w:r>
      <w:r w:rsidR="0062463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contractual obligations the Court may intervene and ensure justice to the oppressed, but here there is no</w:t>
      </w:r>
      <w:r w:rsidR="0062463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evidence of such fraud or oppression”.</w:t>
      </w:r>
      <w:r w:rsidR="0062463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Fina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Bank Ltd v Spares and Industries Ltd </w:t>
      </w:r>
      <w:r>
        <w:rPr>
          <w:rFonts w:ascii="Times New Roman" w:hAnsi="Times New Roman" w:cs="Times New Roman"/>
          <w:color w:val="000000"/>
        </w:rPr>
        <w:t xml:space="preserve">[2000] 1 EA 52, </w:t>
      </w:r>
      <w:proofErr w:type="spellStart"/>
      <w:r>
        <w:rPr>
          <w:rFonts w:ascii="Times New Roman" w:hAnsi="Times New Roman" w:cs="Times New Roman"/>
          <w:color w:val="000000"/>
        </w:rPr>
        <w:t>Tunoi</w:t>
      </w:r>
      <w:proofErr w:type="spellEnd"/>
      <w:r>
        <w:rPr>
          <w:rFonts w:ascii="Times New Roman" w:hAnsi="Times New Roman" w:cs="Times New Roman"/>
          <w:color w:val="000000"/>
        </w:rPr>
        <w:t xml:space="preserve">, Shah and </w:t>
      </w:r>
      <w:proofErr w:type="spellStart"/>
      <w:r>
        <w:rPr>
          <w:rFonts w:ascii="Times New Roman" w:hAnsi="Times New Roman" w:cs="Times New Roman"/>
          <w:color w:val="000000"/>
        </w:rPr>
        <w:t>O’Kubasu</w:t>
      </w:r>
      <w:proofErr w:type="spellEnd"/>
      <w:r>
        <w:rPr>
          <w:rFonts w:ascii="Times New Roman" w:hAnsi="Times New Roman" w:cs="Times New Roman"/>
          <w:color w:val="000000"/>
        </w:rPr>
        <w:t xml:space="preserve"> JJA after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considering the allegations of high and onerous rates of interest by the bank and </w:t>
      </w:r>
      <w:proofErr w:type="spellStart"/>
      <w:r>
        <w:rPr>
          <w:rFonts w:ascii="Times New Roman" w:hAnsi="Times New Roman" w:cs="Times New Roman"/>
          <w:color w:val="000000"/>
        </w:rPr>
        <w:t>criticising</w:t>
      </w:r>
      <w:proofErr w:type="spellEnd"/>
      <w:r>
        <w:rPr>
          <w:rFonts w:ascii="Times New Roman" w:hAnsi="Times New Roman" w:cs="Times New Roman"/>
          <w:color w:val="000000"/>
        </w:rPr>
        <w:t xml:space="preserve"> the trial Judge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 </w:t>
      </w:r>
      <w:proofErr w:type="spellStart"/>
      <w:r>
        <w:rPr>
          <w:rFonts w:ascii="Times New Roman" w:hAnsi="Times New Roman" w:cs="Times New Roman"/>
          <w:color w:val="000000"/>
        </w:rPr>
        <w:t>failling</w:t>
      </w:r>
      <w:proofErr w:type="spellEnd"/>
      <w:r>
        <w:rPr>
          <w:rFonts w:ascii="Times New Roman" w:hAnsi="Times New Roman" w:cs="Times New Roman"/>
          <w:color w:val="000000"/>
        </w:rPr>
        <w:t xml:space="preserve"> into the serious error of being a </w:t>
      </w:r>
      <w:proofErr w:type="spellStart"/>
      <w:r>
        <w:rPr>
          <w:rFonts w:ascii="Times New Roman" w:hAnsi="Times New Roman" w:cs="Times New Roman"/>
          <w:color w:val="000000"/>
        </w:rPr>
        <w:t>sympathiser</w:t>
      </w:r>
      <w:proofErr w:type="spellEnd"/>
      <w:r>
        <w:rPr>
          <w:rFonts w:ascii="Times New Roman" w:hAnsi="Times New Roman" w:cs="Times New Roman"/>
          <w:color w:val="000000"/>
        </w:rPr>
        <w:t xml:space="preserve"> although it is human to so feel Shah said in his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judgment: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“... the function of the Court is to enforce what is agreed between the parties and not what the Court thinks</w:t>
      </w:r>
      <w:r w:rsidR="0062463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ought to have been fairly agreed between the parties. I agree with what was stated by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Rimer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the case of</w:t>
      </w:r>
      <w:r w:rsidR="0062463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Clarion Ltd and others v National Provident Institution </w:t>
      </w:r>
      <w:r>
        <w:rPr>
          <w:rFonts w:ascii="Times New Roman" w:hAnsi="Times New Roman" w:cs="Times New Roman"/>
          <w:color w:val="000000"/>
          <w:sz w:val="20"/>
          <w:szCs w:val="20"/>
        </w:rPr>
        <w:t>[2000] 2 All ER 265 at 281:</w:t>
      </w:r>
      <w:r w:rsidR="0062463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‘Thrust of NPT’s complaint is simply that it made a bad bargain from which it now wants to be</w:t>
      </w:r>
      <w:r w:rsidR="0062463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released. It is, however, of the essence of business transactions that each party is bargaining in its own</w:t>
      </w:r>
      <w:r w:rsidR="0062463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interest, and for his own benefit and that each has to look after his own interests and that in most cases</w:t>
      </w:r>
      <w:r w:rsidR="0062463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neither owes any duty of care or disclosure to the other. It is inherent in such a system that there will</w:t>
      </w:r>
      <w:r w:rsidR="0062463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be those who will make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bad bargains but that is the risk which in my view each bargaining party must</w:t>
      </w:r>
      <w:r w:rsidR="0062463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 assumed to be willing to take and which the law must be regarded as having allocated to him, and</w:t>
      </w:r>
      <w:r w:rsidR="0062463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also later said:</w:t>
      </w:r>
      <w:r w:rsidR="0062463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‘At the risk of repetition I must say that the Court must leave parties to their bargain good or bad’.”</w:t>
      </w:r>
      <w:r w:rsidR="0062463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Yet again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Mrao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Ltd v First American Bank of Kenya Ltd and others </w:t>
      </w:r>
      <w:r>
        <w:rPr>
          <w:rFonts w:ascii="Times New Roman" w:hAnsi="Times New Roman" w:cs="Times New Roman"/>
          <w:color w:val="000000"/>
        </w:rPr>
        <w:t>[2002] LLR 3801 (CAK),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Kwach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Bosire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O’Kubasu</w:t>
      </w:r>
      <w:proofErr w:type="spellEnd"/>
      <w:r>
        <w:rPr>
          <w:rFonts w:ascii="Times New Roman" w:hAnsi="Times New Roman" w:cs="Times New Roman"/>
          <w:color w:val="000000"/>
        </w:rPr>
        <w:t xml:space="preserve"> JJA) </w:t>
      </w:r>
      <w:proofErr w:type="spellStart"/>
      <w:r>
        <w:rPr>
          <w:rFonts w:ascii="Times New Roman" w:hAnsi="Times New Roman" w:cs="Times New Roman"/>
          <w:color w:val="000000"/>
        </w:rPr>
        <w:t>Kwach</w:t>
      </w:r>
      <w:proofErr w:type="spellEnd"/>
      <w:r>
        <w:rPr>
          <w:rFonts w:ascii="Times New Roman" w:hAnsi="Times New Roman" w:cs="Times New Roman"/>
          <w:color w:val="000000"/>
        </w:rPr>
        <w:t xml:space="preserve"> JA said: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 have always understood that it is the duty of any person entering into a commercial transaction particularly</w:t>
      </w:r>
      <w:r w:rsidR="0062463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one in which a large amount of money is involved to obtain the best legal advice so that he can better</w:t>
      </w:r>
      <w:r w:rsidR="0062463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understand his obligations under the documents to which he appends his signature or seal. If courts are going</w:t>
      </w:r>
      <w:r w:rsidR="0062463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to allow debtors to avoid paying their just debts by taking some of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defences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 I have seen in recent times,</w:t>
      </w:r>
      <w:r w:rsidR="0062463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for instance challenging the contractual interest rate, banks will be crippled out of business altogether and no</w:t>
      </w:r>
      <w:r w:rsidR="0062463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serious investors will bring their capital into a country whose courts are a haven for defaulters.”</w:t>
      </w:r>
      <w:r w:rsidR="0062463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this is what </w:t>
      </w:r>
      <w:proofErr w:type="spellStart"/>
      <w:r>
        <w:rPr>
          <w:rFonts w:ascii="Times New Roman" w:hAnsi="Times New Roman" w:cs="Times New Roman"/>
          <w:color w:val="000000"/>
        </w:rPr>
        <w:t>Ringera</w:t>
      </w:r>
      <w:proofErr w:type="spellEnd"/>
      <w:r>
        <w:rPr>
          <w:rFonts w:ascii="Times New Roman" w:hAnsi="Times New Roman" w:cs="Times New Roman"/>
          <w:color w:val="000000"/>
        </w:rPr>
        <w:t xml:space="preserve"> J had to say on the subject of interest rates in the case of </w:t>
      </w:r>
      <w:r>
        <w:rPr>
          <w:rFonts w:ascii="Times New Roman" w:hAnsi="Times New Roman" w:cs="Times New Roman"/>
          <w:i/>
          <w:iCs/>
          <w:color w:val="000000"/>
        </w:rPr>
        <w:t>Morris and Co Ltd v</w:t>
      </w:r>
      <w:r w:rsidR="0062463F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Kenya Commercial Bank Ltd and others </w:t>
      </w:r>
      <w:r>
        <w:rPr>
          <w:rFonts w:ascii="Times New Roman" w:hAnsi="Times New Roman" w:cs="Times New Roman"/>
          <w:color w:val="000000"/>
        </w:rPr>
        <w:t>[2003] 2 EA 605: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“As regards interest, I can only say that it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behoves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parties to read the contracts they sign and to believe that</w:t>
      </w:r>
      <w:r w:rsidR="0062463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terms thereof are not mere words but covenants to be enforced. If the lender reserves to himself the right</w:t>
      </w:r>
      <w:r w:rsidR="0062463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charge such interest as he shall determine and to vary the same without reference to the borrower, so it</w:t>
      </w:r>
      <w:r w:rsidR="0062463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shall be”.</w:t>
      </w:r>
      <w:r w:rsidR="0062463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the letter of offer of 24 September 1999 addressed to </w:t>
      </w:r>
      <w:proofErr w:type="spellStart"/>
      <w:r>
        <w:rPr>
          <w:rFonts w:ascii="Times New Roman" w:hAnsi="Times New Roman" w:cs="Times New Roman"/>
          <w:color w:val="000000"/>
        </w:rPr>
        <w:t>Messrs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Kimana</w:t>
      </w:r>
      <w:proofErr w:type="spellEnd"/>
      <w:r>
        <w:rPr>
          <w:rFonts w:ascii="Times New Roman" w:hAnsi="Times New Roman" w:cs="Times New Roman"/>
          <w:color w:val="000000"/>
        </w:rPr>
        <w:t xml:space="preserve"> Lodge Limited at page 2 item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(iii) is entitled rate of interest after giving various rates of interest the offer letter says: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“Such interest shall be computed on a daily basis with monthly rests and would be payable by you at end of</w:t>
      </w:r>
      <w:r w:rsidR="0062463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every month. The rates are subject to change at any time without prior notice, and at the absolute discretion of</w:t>
      </w:r>
      <w:r w:rsidR="0062463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bank”.</w:t>
      </w:r>
      <w:r w:rsidR="0062463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At end of he said letter is endorsed a memorandum of acceptance which is in these terms: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“We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Messrs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Kimana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Lodge Limited PO Box 30139, Nairobi agree to accept, on the terms and conditions set</w:t>
      </w:r>
      <w:r w:rsidR="0062463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out above the offer facilities contained in this letter. We enclose our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cheque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for July interest”.</w:t>
      </w:r>
      <w:r w:rsidR="0062463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It is thereafter signed by two directors of </w:t>
      </w:r>
      <w:proofErr w:type="spellStart"/>
      <w:r>
        <w:rPr>
          <w:rFonts w:ascii="Times New Roman" w:hAnsi="Times New Roman" w:cs="Times New Roman"/>
          <w:color w:val="000000"/>
        </w:rPr>
        <w:t>Kimana</w:t>
      </w:r>
      <w:proofErr w:type="spellEnd"/>
      <w:r>
        <w:rPr>
          <w:rFonts w:ascii="Times New Roman" w:hAnsi="Times New Roman" w:cs="Times New Roman"/>
          <w:color w:val="000000"/>
        </w:rPr>
        <w:t xml:space="preserve"> Lodge and is dated 25 September 1999. The second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plaintiff’s board resolutions passed on 25 September 1999, duly certified by its chairman are attached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forwarded to the defendant together with accepted letter of offer. The credit agreement dated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18 November 1999 for the borrowing of US$ 300 000 together with further charge of the suit property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were duly approved and sealed, and so were personal guarantees of the first plaintiff, </w:t>
      </w:r>
      <w:proofErr w:type="spellStart"/>
      <w:r>
        <w:rPr>
          <w:rFonts w:ascii="Times New Roman" w:hAnsi="Times New Roman" w:cs="Times New Roman"/>
          <w:color w:val="000000"/>
        </w:rPr>
        <w:t>Rajnikant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Jashbhai</w:t>
      </w:r>
      <w:proofErr w:type="spellEnd"/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Desai, and </w:t>
      </w:r>
      <w:proofErr w:type="spellStart"/>
      <w:r>
        <w:rPr>
          <w:rFonts w:ascii="Times New Roman" w:hAnsi="Times New Roman" w:cs="Times New Roman"/>
          <w:color w:val="000000"/>
        </w:rPr>
        <w:t>Nila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Rajnikant</w:t>
      </w:r>
      <w:proofErr w:type="spellEnd"/>
      <w:r>
        <w:rPr>
          <w:rFonts w:ascii="Times New Roman" w:hAnsi="Times New Roman" w:cs="Times New Roman"/>
          <w:color w:val="000000"/>
        </w:rPr>
        <w:t xml:space="preserve"> Desai. Under clause 1 of the further charge the second defendant committed to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pay interest very much like clause 1(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of the charge made on 30 November 1994. The plaintiffs were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thus bound to pay the interest in accordance with respective contractual terms which they entered into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their eyes wide open.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will also dispose the other point that there was no valuable consideration or that the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consideration was past for the defendant to enforce its security under the charge and further charge. This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not so. They acknowledge the letter of offer of 22 September 1999 for a current loan of US 300 000-00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overdraft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25 000 000 and proceeded to offer a further charge over the suit property. They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cannot be heard to say that the consideration was past to defeat the defendant’s enforcement of the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security.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fourth issue was the identity and value of the suit property. The first valuation made by </w:t>
      </w:r>
      <w:proofErr w:type="spellStart"/>
      <w:r>
        <w:rPr>
          <w:rFonts w:ascii="Times New Roman" w:hAnsi="Times New Roman" w:cs="Times New Roman"/>
          <w:color w:val="000000"/>
        </w:rPr>
        <w:t>Bagaine</w:t>
      </w:r>
      <w:proofErr w:type="spellEnd"/>
      <w:r w:rsidR="0062463F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Karanja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Mbuu</w:t>
      </w:r>
      <w:proofErr w:type="spellEnd"/>
      <w:r>
        <w:rPr>
          <w:rFonts w:ascii="Times New Roman" w:hAnsi="Times New Roman" w:cs="Times New Roman"/>
          <w:color w:val="000000"/>
        </w:rPr>
        <w:t xml:space="preserve"> Limited gave the property on the basis of six separate plots over 2 acres each, and open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market value of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65 million, and a mortgage value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52 million, without any improvements thereon. A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subsequent valuation by </w:t>
      </w:r>
      <w:proofErr w:type="spellStart"/>
      <w:r>
        <w:rPr>
          <w:rFonts w:ascii="Times New Roman" w:hAnsi="Times New Roman" w:cs="Times New Roman"/>
          <w:color w:val="000000"/>
        </w:rPr>
        <w:t>Syagga</w:t>
      </w:r>
      <w:proofErr w:type="spellEnd"/>
      <w:r>
        <w:rPr>
          <w:rFonts w:ascii="Times New Roman" w:hAnsi="Times New Roman" w:cs="Times New Roman"/>
          <w:color w:val="000000"/>
        </w:rPr>
        <w:t xml:space="preserve"> and Associates revealed that there was no matrimonial home in the suit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premises, nor was the property sub-divided. The property consisted of natural vegetation. These </w:t>
      </w:r>
      <w:proofErr w:type="spellStart"/>
      <w:r>
        <w:rPr>
          <w:rFonts w:ascii="Times New Roman" w:hAnsi="Times New Roman" w:cs="Times New Roman"/>
          <w:color w:val="000000"/>
        </w:rPr>
        <w:t>valuers</w:t>
      </w:r>
      <w:proofErr w:type="spellEnd"/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gave it a value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24.8 million on open market value,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mortgage value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20.5 million,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a forced sale value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13 800 000. Without approved sub-division plans and deed plans in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relation thereto, it is doubtful the property would attract any of the values set out in the valuation of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Bagaine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Karanja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Mbuu</w:t>
      </w:r>
      <w:proofErr w:type="spellEnd"/>
      <w:r>
        <w:rPr>
          <w:rFonts w:ascii="Times New Roman" w:hAnsi="Times New Roman" w:cs="Times New Roman"/>
          <w:color w:val="000000"/>
        </w:rPr>
        <w:t xml:space="preserve"> Limited. The negotiated or proposed private offer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20 million or other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higher sum would be as good as any the parties would get for the suit property comprising the two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valuations.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attestation of exhibits was rectified by filing with leave of the Court of the entire replying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affidavit of Francis Robert </w:t>
      </w:r>
      <w:proofErr w:type="spellStart"/>
      <w:r>
        <w:rPr>
          <w:rFonts w:ascii="Times New Roman" w:hAnsi="Times New Roman" w:cs="Times New Roman"/>
          <w:color w:val="000000"/>
        </w:rPr>
        <w:t>Kinyanjui</w:t>
      </w:r>
      <w:proofErr w:type="spellEnd"/>
      <w:r>
        <w:rPr>
          <w:rFonts w:ascii="Times New Roman" w:hAnsi="Times New Roman" w:cs="Times New Roman"/>
          <w:color w:val="000000"/>
        </w:rPr>
        <w:t>, sworn on 3 February 2003, and filed on the same day in court. This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disposes of the fifth issue. The exhibits now complied with the provisions of the Statutory Declaration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 (Chapter 15) and the rules made hereunder.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sixth issue was the validity of the notices and whether this particular issue of the matter was now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res judicata</w:t>
      </w:r>
      <w:r>
        <w:rPr>
          <w:rFonts w:ascii="Times New Roman" w:hAnsi="Times New Roman" w:cs="Times New Roman"/>
          <w:color w:val="000000"/>
        </w:rPr>
        <w:t>. There were two types of notices. Firstly, there were notices under section 69A of the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transfer of property being the three </w:t>
      </w:r>
      <w:r w:rsidR="0062463F">
        <w:rPr>
          <w:rFonts w:ascii="Times New Roman" w:hAnsi="Times New Roman" w:cs="Times New Roman"/>
          <w:color w:val="000000"/>
        </w:rPr>
        <w:t>months’ notice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 xml:space="preserve"> to the plaintiffs before the defendant could exercise its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statutory power of sale. In his ruling of 28 August 2003, in </w:t>
      </w:r>
      <w:proofErr w:type="spellStart"/>
      <w:r>
        <w:rPr>
          <w:rFonts w:ascii="Times New Roman" w:hAnsi="Times New Roman" w:cs="Times New Roman"/>
          <w:color w:val="000000"/>
        </w:rPr>
        <w:t>Milimini</w:t>
      </w:r>
      <w:proofErr w:type="spellEnd"/>
      <w:r>
        <w:rPr>
          <w:rFonts w:ascii="Times New Roman" w:hAnsi="Times New Roman" w:cs="Times New Roman"/>
          <w:color w:val="000000"/>
        </w:rPr>
        <w:t xml:space="preserve"> Commercial Courts civil case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number 513 of 2003 (OS),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Fina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Bank Ltd v Desai </w:t>
      </w:r>
      <w:proofErr w:type="spellStart"/>
      <w:r>
        <w:rPr>
          <w:rFonts w:ascii="Times New Roman" w:hAnsi="Times New Roman" w:cs="Times New Roman"/>
          <w:color w:val="000000"/>
        </w:rPr>
        <w:t>Mwera</w:t>
      </w:r>
      <w:proofErr w:type="spellEnd"/>
      <w:r>
        <w:rPr>
          <w:rFonts w:ascii="Times New Roman" w:hAnsi="Times New Roman" w:cs="Times New Roman"/>
          <w:color w:val="000000"/>
        </w:rPr>
        <w:t xml:space="preserve"> J said this at page 6 of his ruling: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“On the issue of notices, the consent order of 3 February 2003 specifically termed the auctioneers</w:t>
      </w:r>
      <w:r w:rsidR="0062463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notification(s) as defective. Nothing was said of the statutory notice(s) of sale and so it can safely be said that</w:t>
      </w:r>
      <w:r w:rsidR="0062463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since the bank conceded that the notification for sale (by the auctioneers had been defective), the respondents</w:t>
      </w:r>
      <w:r w:rsidR="0062463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on their part conceded the statutory notices were valid, hence the consent order being recorded as they were.</w:t>
      </w:r>
      <w:r w:rsidR="0062463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respondents cannot be seen to introduce that aspect here now”.</w:t>
      </w:r>
      <w:r w:rsidR="0062463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 accept this position.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last, and perhaps most important issue is whether the applicant is entitled to an interlocutory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injunction in terms of prayer 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in its plaint filed on 24 August 2001 and prayer 3 of the application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dated 24 August 2001 and filed in court on the same day. For the applicant to succeed in its prayer, the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applicant must fulfil the principles for granting this relief, as set out in the often cited case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Giella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</w:t>
      </w:r>
      <w:r w:rsidR="0062463F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Casman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Brown and Co Ltd </w:t>
      </w:r>
      <w:r>
        <w:rPr>
          <w:rFonts w:ascii="Times New Roman" w:hAnsi="Times New Roman" w:cs="Times New Roman"/>
          <w:color w:val="000000"/>
        </w:rPr>
        <w:t>[1973] EA 358. These principles are: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applicant must show a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prima facie </w:t>
      </w:r>
      <w:r>
        <w:rPr>
          <w:rFonts w:ascii="Times New Roman" w:hAnsi="Times New Roman" w:cs="Times New Roman"/>
          <w:color w:val="000000"/>
          <w:sz w:val="20"/>
          <w:szCs w:val="20"/>
        </w:rPr>
        <w:t>case with a probability of success.</w:t>
      </w:r>
      <w:r w:rsidR="0062463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 ii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The applicant will suffer irreparable loss unless the injunction is granted.</w:t>
      </w:r>
      <w:r w:rsidR="0062463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(iii) When in doubt, the Court will decide the matter on a balance of convenience;</w:t>
      </w:r>
      <w:r w:rsidR="0062463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the first principle that the applicant must show a </w:t>
      </w:r>
      <w:r>
        <w:rPr>
          <w:rFonts w:ascii="Times New Roman" w:hAnsi="Times New Roman" w:cs="Times New Roman"/>
          <w:i/>
          <w:iCs/>
          <w:color w:val="000000"/>
        </w:rPr>
        <w:t xml:space="preserve">prima facie </w:t>
      </w:r>
      <w:r>
        <w:rPr>
          <w:rFonts w:ascii="Times New Roman" w:hAnsi="Times New Roman" w:cs="Times New Roman"/>
          <w:color w:val="000000"/>
        </w:rPr>
        <w:t>case with a probability of success, the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has established that there is a valid charge and further charge on the suit property. The applicants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defaulted in payment. The applicants have made completely untrue unsubstantiated and unfounded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averments knowingly designed to mislead the Court that the suit property had a building and other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improvements thereon (paragraph 6) of the supporting affidavit of </w:t>
      </w:r>
      <w:proofErr w:type="spellStart"/>
      <w:r>
        <w:rPr>
          <w:rFonts w:ascii="Times New Roman" w:hAnsi="Times New Roman" w:cs="Times New Roman"/>
          <w:color w:val="000000"/>
        </w:rPr>
        <w:t>Rajnikant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Jashbhai</w:t>
      </w:r>
      <w:proofErr w:type="spellEnd"/>
      <w:r>
        <w:rPr>
          <w:rFonts w:ascii="Times New Roman" w:hAnsi="Times New Roman" w:cs="Times New Roman"/>
          <w:color w:val="000000"/>
        </w:rPr>
        <w:t xml:space="preserve"> Desai sworn on 24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August 2001, while knowing that the entire suit property had only natural vegetation thereon, and no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improvements at all. The applicant had also obtained a loan facility on the basis of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approved sub-division of the suit property whereas there was no such sub-division. The applicant was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given an update of accounts to which it has not responded. In any event it is now settled judicial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precedent, that</w:t>
      </w:r>
      <w:proofErr w:type="gramEnd"/>
      <w:r>
        <w:rPr>
          <w:rFonts w:ascii="Times New Roman" w:hAnsi="Times New Roman" w:cs="Times New Roman"/>
          <w:color w:val="000000"/>
        </w:rPr>
        <w:t xml:space="preserve"> a dispute as to amount is not a basis for an injunction to restrain a mortgage from the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exercise of the statutory power of sale, and courts will not interfere with the terms of contract as to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interest. In the circumstances, I do not think the applicant has any </w:t>
      </w:r>
      <w:r>
        <w:rPr>
          <w:rFonts w:ascii="Times New Roman" w:hAnsi="Times New Roman" w:cs="Times New Roman"/>
          <w:i/>
          <w:iCs/>
          <w:color w:val="000000"/>
        </w:rPr>
        <w:t xml:space="preserve">prima facie </w:t>
      </w:r>
      <w:r>
        <w:rPr>
          <w:rFonts w:ascii="Times New Roman" w:hAnsi="Times New Roman" w:cs="Times New Roman"/>
          <w:color w:val="000000"/>
        </w:rPr>
        <w:t>case at all with a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probability of success. Will the applicant suffer irreparable loss unless the injunction is granted? I do not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think so. The applicant has deposed to a material untruth that the suit property is developed whereas the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contrary is the position. By that material misstatement the applicant has attempted to give a value to the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suit property which it does not have. The applicant admits owing the defendant a debt which is far in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excess of the probable value of the suit property. Assuming however that the applicant may be successful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his suit, could the injury caused by refusal of an injunctive order be compensated in damages. I think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so. The defendant appears to be a stable bank, and there is no suggestion that it has used its superior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position in any overbearing or oppressive manner against the applicant. The defendant remains a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substantial creditor to the plaintiff, and if the plaintiffs were successful in its claim against the defendant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debt or part of it owed to the defendant by the plaintiff could be applied to set off the whole or part of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damages arising from the successful ending of the plaintiff’s suit. Until that happens however, the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 remains a debtor to the defendant.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balance of convenience will for similar reasons tilt in the defendant’s favour. </w:t>
      </w:r>
      <w:proofErr w:type="spellStart"/>
      <w:r>
        <w:rPr>
          <w:rFonts w:ascii="Times New Roman" w:hAnsi="Times New Roman" w:cs="Times New Roman"/>
          <w:color w:val="000000"/>
        </w:rPr>
        <w:t>Kimana</w:t>
      </w:r>
      <w:proofErr w:type="spellEnd"/>
      <w:r>
        <w:rPr>
          <w:rFonts w:ascii="Times New Roman" w:hAnsi="Times New Roman" w:cs="Times New Roman"/>
          <w:color w:val="000000"/>
        </w:rPr>
        <w:t xml:space="preserve"> Lodge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Limited the principal debtor to which the plaintiff were guarantors and charged the suit property as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security to secure the loan and advances to the principal debtor, by the defendants, was placed under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receivership, not by the defendants but by another creditor, </w:t>
      </w:r>
      <w:proofErr w:type="spellStart"/>
      <w:r>
        <w:rPr>
          <w:rFonts w:ascii="Times New Roman" w:hAnsi="Times New Roman" w:cs="Times New Roman"/>
          <w:color w:val="000000"/>
        </w:rPr>
        <w:t>Delphis</w:t>
      </w:r>
      <w:proofErr w:type="spellEnd"/>
      <w:r>
        <w:rPr>
          <w:rFonts w:ascii="Times New Roman" w:hAnsi="Times New Roman" w:cs="Times New Roman"/>
          <w:color w:val="000000"/>
        </w:rPr>
        <w:t xml:space="preserve"> Bank Limited and has been under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receivership since 10 November 2000. Interest on the defendant’s loan is still accruing, and the plaintiffs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made or offered no proposals for payment, and the prospects for the defendant recovering its loan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appear to be receding with each day since this application was filed on 24 August 2001. The only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sensible thing for the defendant as lender is to cut down its losses and start recovering some money by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selling the assets securing the loan and advances. To maintain a </w:t>
      </w:r>
      <w:r>
        <w:rPr>
          <w:rFonts w:ascii="Times New Roman" w:hAnsi="Times New Roman" w:cs="Times New Roman"/>
          <w:i/>
          <w:iCs/>
          <w:color w:val="000000"/>
        </w:rPr>
        <w:t xml:space="preserve">status quo </w:t>
      </w:r>
      <w:r>
        <w:rPr>
          <w:rFonts w:ascii="Times New Roman" w:hAnsi="Times New Roman" w:cs="Times New Roman"/>
          <w:color w:val="000000"/>
        </w:rPr>
        <w:t>where the plaintiffs retain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both the loan, and the suit property would be patently unjust, and this Court would not be party to it. In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circumstances of the plaintiffs it would not even be prudent to ask them to offer an undertaking to pay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loan and damages in the event of their losing the case. Every prospect suggests that the plaintiff will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unable to raise a bank or such cash deposit in the amount of the debt to secure the defendant if an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injunction were granted.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bring my ruling to an end I would say this, the plaintiff’s application dated 28 August 2001 has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been a long journey to delay the defendants from recovering the loans advanced to the plaintiff’s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enterprises called </w:t>
      </w:r>
      <w:proofErr w:type="spellStart"/>
      <w:r>
        <w:rPr>
          <w:rFonts w:ascii="Times New Roman" w:hAnsi="Times New Roman" w:cs="Times New Roman"/>
          <w:color w:val="000000"/>
        </w:rPr>
        <w:t>Kimana</w:t>
      </w:r>
      <w:proofErr w:type="spellEnd"/>
      <w:r>
        <w:rPr>
          <w:rFonts w:ascii="Times New Roman" w:hAnsi="Times New Roman" w:cs="Times New Roman"/>
          <w:color w:val="000000"/>
        </w:rPr>
        <w:t xml:space="preserve"> Lodge Limited. It is an unsuccessful journey. The application is incompetent,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without merit at all. It is dismissed with costs to the respondents, and if there were any interim orders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previously granted the same are hereby dissolved.</w:t>
      </w:r>
      <w:r w:rsidR="0062463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plaintiffs:</w:t>
      </w:r>
    </w:p>
    <w:p w:rsidR="007F120F" w:rsidRDefault="007F120F" w:rsidP="007F1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lastRenderedPageBreak/>
        <w:t>Information not available</w:t>
      </w:r>
    </w:p>
    <w:p w:rsidR="00E97396" w:rsidRDefault="007F120F" w:rsidP="007F120F">
      <w:r>
        <w:rPr>
          <w:rFonts w:ascii="Times New Roman" w:hAnsi="Times New Roman" w:cs="Times New Roman"/>
          <w:color w:val="000000"/>
        </w:rPr>
        <w:t>For the</w:t>
      </w:r>
    </w:p>
    <w:sectPr w:rsidR="00E97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20F"/>
    <w:rsid w:val="0062463F"/>
    <w:rsid w:val="007F120F"/>
    <w:rsid w:val="00E9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2E66CE-21CC-4895-BD43-E4F1DB585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4032</Words>
  <Characters>22988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2018-07-03T13:33:00Z</dcterms:created>
  <dcterms:modified xsi:type="dcterms:W3CDTF">2018-07-12T08:43:00Z</dcterms:modified>
</cp:coreProperties>
</file>