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Desai &amp; another v Shah &amp; others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January 1974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85/1973 (64/74)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85/1973 (64/74)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and Muli JJ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Rent Restriction – Dwelling house – Jurisdiction given over any part used as a dwelling house –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(1)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Rent Restriction – Standard rent – Assessment – May be fixed by tribunal of own motion – Tribunal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not bound by figures submitted to it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5 (1)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Rent Restriction – Standard rent – Reassessment – Uneconomic return – Excessive purchase price –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Burden of showing purchase price to be excessive is on tenant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(2)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[4] Rent Restriction – Standard rent – Reassessment – Uneconomic return – </w:t>
      </w:r>
      <w:r>
        <w:rPr>
          <w:rFonts w:ascii="Times New Roman" w:hAnsi="Times New Roman" w:cs="Times New Roman"/>
          <w:color w:val="000000"/>
        </w:rPr>
        <w:t xml:space="preserve">15 </w:t>
      </w:r>
      <w:r>
        <w:rPr>
          <w:rFonts w:ascii="Times New Roman" w:hAnsi="Times New Roman" w:cs="Times New Roman"/>
          <w:i/>
          <w:iCs/>
          <w:color w:val="000000"/>
        </w:rPr>
        <w:t>per cent p.a. a guideline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not a maximum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4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[5] Rent Restriction – Standard rent – Assessment – May be made operative from commencement of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tenancy – Rent Restriction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296), </w:t>
      </w:r>
      <w:r>
        <w:rPr>
          <w:rFonts w:ascii="Times New Roman" w:hAnsi="Times New Roman" w:cs="Times New Roman"/>
          <w:i/>
          <w:iCs/>
          <w:color w:val="000000"/>
        </w:rPr>
        <w:t>s.</w:t>
      </w:r>
      <w:r>
        <w:rPr>
          <w:rFonts w:ascii="Times New Roman" w:hAnsi="Times New Roman" w:cs="Times New Roman"/>
          <w:color w:val="000000"/>
        </w:rPr>
        <w:t>5 (1)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).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[6] Rent Restriction – Costs – Tribunal may order costs to follow event.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31A21" w:rsidRDefault="00516F94" w:rsidP="00631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631A21" w:rsidRDefault="00516F94" w:rsidP="00631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Harris J: </w:t>
      </w:r>
      <w:r>
        <w:rPr>
          <w:rFonts w:ascii="Times New Roman" w:hAnsi="Times New Roman" w:cs="Times New Roman"/>
          <w:color w:val="000000"/>
        </w:rPr>
        <w:t>This is an appeal from the decision dated 5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June 1973 of the Rent Restriction Tribunal at Nairobi whereby the tribunal allowed an application by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respondents, as landlords, to assess the standard rent for each of two flats in a building in Second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Avenue, Parklands, Nairobi. The building consisted of four flats, the other two being occupied by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themselves.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point taken by the appellants goes to jurisdiction and, although it was not raised before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nor mentioned in the memorandum of appeal, we agreed to consider it. Shortly, it is to the effect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s.4 (2)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(iv) of the Rent Restriction Act (Cap. 296) applies only to a single dwelling house or flat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 Tribunal had no jurisdiction under the Act to apply the provisions of that sub-paragraph to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premises, constituting, as they do, only a portion of a building the remaining portion of which is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retained by the landlords. The appellants concede that if this be the true construction of the sub-section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tribunal would have no jurisdiction under the Act to fix the standard rent of a flat in a building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containing other flats any one of which is occupied by the common landlord. This unreal situation,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is avoided by the fact that in s. 4 (1) the term “dwelling house” is defined as meaning “any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 or part of a house or room used as a dwelling”, and I am satisfied that there is no substance in this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matter raised is that certain passages of an affidavit filed by the respondents in the tribunal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inadmissible under O. 18 of the Civil Procedure Rules and should not have been relied upon by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tribunal. It is clear that the decision of the tribunal did not depend to any material extent upon these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passages and this ground of appeal also fails.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third issue is that although the aggregate of the increased rents sought by the respondents totalled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Shs. 2,580/ – per month the new rents fixed by the tribunal totalled Shs. 2,730/ – per month. There is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in the Act to suggest that a tribunal is bound to accept the figures put forward by the parties or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witnesses, nor is the tribunal bound to await an application by one of the parties to set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in motion, for s. 5 (1)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enables the tribunal to assess the standard rent of premises either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application of any person interested or of its own motion. I find nothing in the Act, nor do I know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any authority, which debars a tribunal under the Act from assessing the standard rent at a figure in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 of or below that claimed or suggested by either of the parties if the circumstances of the case so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warrant.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the question to which I have referred, the principal ground upon which the appellants seek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the decision of the tribunal set aside is that the purchase price of Shs. 200,000/ – paid by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when they bought the premises in the year 1970 was, in the appellants’ submission,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 and should not now be accepted as the basis for the assessment of the standard rent of any of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flats. This proposition requires a </w:t>
      </w:r>
      <w:r>
        <w:rPr>
          <w:rFonts w:ascii="Times New Roman" w:hAnsi="Times New Roman" w:cs="Times New Roman"/>
          <w:color w:val="000000"/>
        </w:rPr>
        <w:lastRenderedPageBreak/>
        <w:t>consideration of the terms of the Act.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s. 4 (2)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), it is provided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that, notwithstanding anything contained in the definition of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“standard rent” in subs. (1) of the section, where a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is satisfied that the standard rent as fixed under that subsection would yield an uneconomic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 because (in the absence of any indication that the purchase price paid by the landlord was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excessive) it does not yield a fair capital return on the purchase price of the premises, the tribunal may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the standard rent to be such amount as in all the circumstances of the case it considers to be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fair. It is clear that in such a case it is in the interest of the tenant and not of the landlord that the purchase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price paid for the premises should be shown to have been excessive and since the “indication” referred to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of a positive nature, namely, that the price “was excessive”, rather than of a negative nature to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that the price “was not excessive”, the burden of showing some indication as to the price having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excessive falls on the party who would benefit thereby, namely, the tenant. The Act does not itself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 a presumption either one way or the other but commonsense predicates that in the ordinary course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business a purchaser of premises will not pay more for his purchase than he is required to do.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 resting on the tenant therefore is to point to some indication suggesting that in the particular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the landlord in fact paid more than he need have done. It is not difficult to conceive of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where this could occur but nevertheless the burden on the tenant, such as it is, must be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discharged and an indication in that behalf must be brought to the notice of the tribunal. This proposition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in accord with the general rule of evidence that he who avers must prove.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 no evidence whatever was tendered as to the circumstances surrounding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by the respondents or as to why an excessive price should have been paid. The best that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have done is to produce the evidence of a land valuer with only six months’ experience in this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 as to what he thought the condition of the premises might have been in 1970 and their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 market value. The evidence of this witness, which was almost entirely speculative in this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regard, did not impress the tribunal.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satisfied that no indication has been shown to exist to suggest that the purchase price paid by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in 1970 was in any way excessive and that therefore the tribunal was entitled to find that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 rent, if fixed under s. 4 (1), would yield an uneconomic return to the respondents having regard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their capital investment of Shs. 200,000/ – 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was addressed to us regarding the amount of the increase of rent awarded by the tribunal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which, it is said, will yield an aggregate return to the landlords in respect of all four flats of between 16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17 per cent upon the purchase price paid for the entire premises. The figure of 1 1/2 per cent p.a.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in the Act (that is, 15 per cent p.a.) is not intended for the purposes of s.4(2) to constitute a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upward limit to the rate of return that a landlord may reasonably expect upon his investment.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criterion laid down for the purposes of that subsection is that the standard rent to be fixed thereunder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such amount as, in all the circumstances of the case, the tribunal considers fair, and in my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the question of what is fair in the present case can properly be considered in the light of, among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things, the current return of income obtainable in Nairobi from other forms of investment in land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the placing of money on mortgage. I am of the view that the overall return which the decision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tribunal will yield to the present respondents is not unfair to the parties and cannot be seriously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objected to.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the four flats themselves, two of them, numbers 1 and 3, are occupied by the respondents and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remaining two by the appellants as tenants. In regard to accommodation those occupied by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appear from the evidence to be slightly superior to those occupied by the appellants and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would seem to have been correct in fixing a slightly higher rent for those occupied by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I find no convincing reason for differing from the rents so assessed.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also complain of the fact that the standard rent was fixed with effect from 1 August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1972, which, they say, was unfair and unjust. It cannot be disputed that s. 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enables a tribunal in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discretion and in accordance with the requirements of justice to fix the date from which the standard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rent should be payable. There is no suggestion that this can be done only prospectively and I am satisfied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if necessary, the operative date can be set as far back as the commencement of the tenancy. Here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respondents’ application for the assessment of the rent was filed in May 1972, served on the appellants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6 July 1972, and subsequently strenuously resisted by them. By analogy with a claim in a civil action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liquidated damages in which interest on such damages is commonly awarded as from the date of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suit I see no undue hardship in the present case in fixing the standard rent retrospectively to I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1972.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 we have the question of costs, which were awarded by the tribunal to the respondents and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assessed at the sum of Shs. 1,000/ – . </w:t>
      </w:r>
      <w:r>
        <w:rPr>
          <w:rFonts w:ascii="Times New Roman" w:hAnsi="Times New Roman" w:cs="Times New Roman"/>
          <w:color w:val="000000"/>
        </w:rPr>
        <w:lastRenderedPageBreak/>
        <w:t>Under s. 30 of the Act it is provided that a tribunal in the exercise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its jurisdiction under the Act shall have the same powers in civil matters as are conferred upon this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including a power in its discretion to order any party to the proceedings to pay the whole or any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costs and either itself to fix the amount of such costs or to direct taxation by the taxing officer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either on the High Court scale or on the subordinate court scale. The discretion is therefore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 provided that it is exercised judicially. The appellants’ contention is, first, that the order for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complained of was made solely because the tribunal was under the impression that the hearing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it had been adjourned several times on the application of the appellants, which it is said, was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the facts; secondly, that the practice of tribunals under the Act in assessment cases is not to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any costs except where a landlord’s application is dismissed; and, thirdly, that costs, if awarded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a tenant, should not exceed Shs. 75/ – which is the normal figure.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Whatever be the position regarding the adjournments in this case the order of the tribunal in no way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suggests that the award of costs turned upon the tribunal’s view in that regard. I see no reason why the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proceedings under the Act should not follow the event if the tribunal in the proper exercise of its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considers this to be appropriate. As to the quantum arrived at here, I have had the advantage of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discussion with the principal taxing officer of this Court and I am satisfied that an award of Shs. 1,000/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 for costs was in no way too high in a case at hearing in whole or in part for two days (in addition to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other attendances by the advocates) and involving premises of the value of those with which we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concerned.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dismiss this appeal with costs.</w:t>
      </w:r>
      <w:r w:rsidR="00631A21">
        <w:rPr>
          <w:rFonts w:ascii="Times New Roman" w:hAnsi="Times New Roman" w:cs="Times New Roman"/>
          <w:color w:val="000000"/>
        </w:rPr>
        <w:t xml:space="preserve"> </w:t>
      </w:r>
    </w:p>
    <w:p w:rsidR="00631A21" w:rsidRDefault="00631A21" w:rsidP="00631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16F94" w:rsidRDefault="00516F94" w:rsidP="00631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Muli J: </w:t>
      </w:r>
      <w:r>
        <w:rPr>
          <w:rFonts w:ascii="Times New Roman" w:hAnsi="Times New Roman" w:cs="Times New Roman"/>
          <w:color w:val="000000"/>
        </w:rPr>
        <w:t>I concur with the judgment of Harris, J. which he has just read and which I had the advantage of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reading in advance. I have nothing to add. I agree with the orders pronounced in the judgment.</w:t>
      </w:r>
      <w:r w:rsidR="0063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. Nairobi)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516F94" w:rsidRDefault="00516F94" w:rsidP="005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Veljee Devshi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Veljee Devshi &amp; Bakrania </w:t>
      </w:r>
      <w:r>
        <w:rPr>
          <w:rFonts w:ascii="Times New Roman" w:hAnsi="Times New Roman" w:cs="Times New Roman"/>
          <w:color w:val="000000"/>
        </w:rPr>
        <w:t>Nairobi)</w:t>
      </w:r>
    </w:p>
    <w:p w:rsidR="006B48C8" w:rsidRDefault="006B48C8"/>
    <w:sectPr w:rsidR="006B48C8" w:rsidSect="00A57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94"/>
    <w:rsid w:val="00516F94"/>
    <w:rsid w:val="00631A21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EFF6C-9155-4518-B046-CDF04036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2018-07-05T13:53:00Z</dcterms:created>
  <dcterms:modified xsi:type="dcterms:W3CDTF">2018-07-12T08:46:00Z</dcterms:modified>
</cp:coreProperties>
</file>