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Dharamshi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Karsan</w:t>
      </w:r>
      <w:proofErr w:type="spellEnd"/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Nairobi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 February 1974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37/1973 (14/74)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Law Ag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Appeal from</w:t>
      </w:r>
      <w:r>
        <w:rPr>
          <w:rFonts w:ascii="Times New Roman" w:hAnsi="Times New Roman" w:cs="Times New Roman"/>
          <w:color w:val="000000"/>
        </w:rPr>
        <w:t>: High Court of Kenya – Madan, J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Damages – Contract – Prevention of completion of works – Cost to plaintiff of completing – To be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allowed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as a deduction.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Damages – Contract – Damage qualified – Whether general damages can be awarded in addition.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[3] Damages –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Detinue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– Damages for detention may be awarded in addition to value of chattel.</w:t>
      </w:r>
    </w:p>
    <w:p w:rsidR="00A67888" w:rsidRDefault="00AB2B20" w:rsidP="00AB2B2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D56DC" w:rsidRDefault="00A67888" w:rsidP="00AB2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Mustafa JA: </w:t>
      </w:r>
      <w:r>
        <w:rPr>
          <w:rFonts w:ascii="Times New Roman" w:hAnsi="Times New Roman" w:cs="Times New Roman"/>
          <w:color w:val="000000"/>
        </w:rPr>
        <w:t>This respondent (who I will call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plaintiff) filed an action against the appellant (who I will call the defendant) for damages alleging that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 had prevented him from completing the construction of a building for the defendant in breach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 agreement entered into between them on 23 June 1970. In terms of the contract the plaintiff was to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be responsible “for all masonry and carpentry </w:t>
      </w:r>
      <w:proofErr w:type="spellStart"/>
      <w:r>
        <w:rPr>
          <w:rFonts w:ascii="Times New Roman" w:hAnsi="Times New Roman" w:cs="Times New Roman"/>
          <w:color w:val="000000"/>
        </w:rPr>
        <w:t>labour</w:t>
      </w:r>
      <w:proofErr w:type="spellEnd"/>
      <w:r>
        <w:rPr>
          <w:rFonts w:ascii="Times New Roman" w:hAnsi="Times New Roman" w:cs="Times New Roman"/>
          <w:color w:val="000000"/>
        </w:rPr>
        <w:t xml:space="preserve"> work”, and was to complete such work on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building in nine months. The defendant was to supply all the necessary materials to the plaintiff. In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event of delay by the plaintiff in completing within the agreed period of nine months, he was to pay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50/- per day as liquidated damages; similarly if the delay was caused by the defendant, he would have to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pay a similar sum as liquidated damages. The total contract price payable to the plaintiff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92,500/-. The plaintiff had been paid a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75,205/40 by 3 April 1971 on which day he alleged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was forcibly evicted from the premises by the defendant and was prevented from continuing with his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work. The plaintiff alleged that by then he had nearly completed his work and that he needed only one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more month to complete the rest. He claimed the balance of the contract price namely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17,294/40, a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for extras and additional work, a sum he had paid to a watchman for and on behalf of the defendant,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value of his tools and equipment wrongly taken possession of and detained by the defendant, damages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 such detention of his tools and equipment, and damages for breach of contract. The trial judge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accepted the evidence of the plaintiff in preference to that of the defendant and awarded him various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amounts of money under all the above heads.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defendant is only appealing against the award of damages under the following heads: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17,294/40 – being balance of contract price.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(2)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1,500/- – for breach of contract.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(3)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3,500/- – damages for detention of plaintiff’s tools and equipment.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(4)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Shs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9,550/- – being value of tools and equipment wrongly detained by the defendant.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 will deal with the items one by one.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17,294/40. The plaintiff in his plaint had alleged that he had nearly completed his work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when, on 3 April 1971, in breach of the agreement of 23 June 1970 entered into between him and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defendant, the defendant wrongfully refused to permit him to continue and complete his work and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repudiated the said contract. In his evidence in court he said, “I was pushed out before I could complete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it,” and again, “If the defendant had not physically pushed me out I was willing to continue working. I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would have completed it timeously”. He estimated that the work remaining to be done would have cost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him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4,654/-, although the balance of the contract price still due and owing to him was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17,294/40. Obviously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17,294/40 would have included his profit element. That this was so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was made clear in his evidence when he said, “I lost a profit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13,000/- which I would have made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under the contract if not prevented from completing it.” What is the measure of damages to be awarded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this case? In </w:t>
      </w:r>
      <w:r>
        <w:rPr>
          <w:rFonts w:ascii="Times New Roman" w:hAnsi="Times New Roman" w:cs="Times New Roman"/>
          <w:i/>
          <w:iCs/>
          <w:color w:val="000000"/>
        </w:rPr>
        <w:t>McGregor on Damages</w:t>
      </w:r>
      <w:r>
        <w:rPr>
          <w:rFonts w:ascii="Times New Roman" w:hAnsi="Times New Roman" w:cs="Times New Roman"/>
          <w:color w:val="000000"/>
        </w:rPr>
        <w:t>, 13th ed., p. 560, Art. 823, it is stated: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“On the measure of damages where the owner acts so as to bar completion there are again, surprisingly, no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English cases. General principles would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put the normal measure at the contract price less the cost to the builder of executing or completing the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work. . . .”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Volume 11, p. 233, para. 400, </w:t>
      </w:r>
      <w:r>
        <w:rPr>
          <w:rFonts w:ascii="Times New Roman" w:hAnsi="Times New Roman" w:cs="Times New Roman"/>
          <w:i/>
          <w:iCs/>
          <w:color w:val="000000"/>
        </w:rPr>
        <w:t>Halsbury Laws of England</w:t>
      </w:r>
      <w:r>
        <w:rPr>
          <w:rFonts w:ascii="Times New Roman" w:hAnsi="Times New Roman" w:cs="Times New Roman"/>
          <w:color w:val="000000"/>
        </w:rPr>
        <w:t xml:space="preserve">, 3rd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edn</w:t>
      </w:r>
      <w:proofErr w:type="spellEnd"/>
      <w:r>
        <w:rPr>
          <w:rFonts w:ascii="Times New Roman" w:hAnsi="Times New Roman" w:cs="Times New Roman"/>
          <w:color w:val="000000"/>
        </w:rPr>
        <w:t>.,</w:t>
      </w:r>
      <w:proofErr w:type="gramEnd"/>
      <w:r>
        <w:rPr>
          <w:rFonts w:ascii="Times New Roman" w:hAnsi="Times New Roman" w:cs="Times New Roman"/>
          <w:color w:val="000000"/>
        </w:rPr>
        <w:t xml:space="preserve"> it is stated: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“The fundamental principle by which the Courts are guided in awarding damages is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restitutio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integrum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. . .”</w:t>
      </w:r>
      <w:r w:rsidR="00AB2B2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</w:rPr>
        <w:t>Is there any reason why I should not apply these principles to this item? Mr. Khanna for the plaintiff has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submitted that these principles cannot apply because in this case, so he has alleged, the breach had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occurred after the contract period had expired, not when the contract was subsisting. The short answer to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is that the plaintiff himself did not sue on that basis; he had sued on the basis that at the time of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breach, the contract </w:t>
      </w:r>
      <w:r>
        <w:rPr>
          <w:rFonts w:ascii="Times New Roman" w:hAnsi="Times New Roman" w:cs="Times New Roman"/>
          <w:color w:val="000000"/>
        </w:rPr>
        <w:lastRenderedPageBreak/>
        <w:t>was subsisting. Indeed that was the basis on which the case for the plaintiff was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conducted throughout the trial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plaintiff, in his evidence, said, “I had nine months to complete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work, i.e. until about 15 April”. The breach took place on 3 April. I will not deal with the proposition put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forward by Mr. Khanna that the plaintiff was entitled to the whole balance without deduction, as it was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based on a false premise. I am of the view that the trial judge should have deducted the sum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4,654/-, being, according to the plaintiff, the cost of the work not done by him, from the balance of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contract price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17,294/40. That would have placed the plaintiff in the same situation as if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contract had been performed. I would allow the appellant’s appeal on this item.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(2)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1,500/-: damages for breach of contract. I can see no reason for damages to be awarded under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this head in this case. The plaintiff had quantified his claim for damages, and was awarded a sum on that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basis as a result of the breach of contract on the part of the defendant. This appears to me to be a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duplication. Mr. Khanna has supported this award again on the baseless ground that as the contract had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expired before the breach this award must have been in relation to the 10 days or so that the defendant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worked after the end of the contract term. That argument is devoid of merit. I would allow the appeal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this item.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(3)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3,500/-: damages for detention of plaintiff’s tools and equipment The plaintiff was awarded a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sum which represented the value of the tools and equipment wrongfully taken possession of by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defendant. The plaintiff also claimed damages for the detention of the said goods, and was awarded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3,500/- as damages for such detention. In an action for </w:t>
      </w:r>
      <w:proofErr w:type="spellStart"/>
      <w:r>
        <w:rPr>
          <w:rFonts w:ascii="Times New Roman" w:hAnsi="Times New Roman" w:cs="Times New Roman"/>
          <w:color w:val="000000"/>
        </w:rPr>
        <w:t>detinue</w:t>
      </w:r>
      <w:proofErr w:type="spellEnd"/>
      <w:r>
        <w:rPr>
          <w:rFonts w:ascii="Times New Roman" w:hAnsi="Times New Roman" w:cs="Times New Roman"/>
          <w:color w:val="000000"/>
        </w:rPr>
        <w:t xml:space="preserve"> a plaintiff is entitled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to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the goods, together with any special loss which is the natural and direct result of the wrong.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valuation of the goods should be assessed as at the date of judgment, see </w:t>
      </w:r>
      <w:r>
        <w:rPr>
          <w:rFonts w:ascii="Times New Roman" w:hAnsi="Times New Roman" w:cs="Times New Roman"/>
          <w:i/>
          <w:iCs/>
          <w:color w:val="000000"/>
        </w:rPr>
        <w:t xml:space="preserve">Clerk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Lindsell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on Torts</w:t>
      </w:r>
      <w:r>
        <w:rPr>
          <w:rFonts w:ascii="Times New Roman" w:hAnsi="Times New Roman" w:cs="Times New Roman"/>
          <w:color w:val="000000"/>
        </w:rPr>
        <w:t>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13th ed., p. 675, Articles 1150–1151. A plaintiff can recover the return or value of his detained goods as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well as damages for their detention, see </w:t>
      </w:r>
      <w:r>
        <w:rPr>
          <w:rFonts w:ascii="Times New Roman" w:hAnsi="Times New Roman" w:cs="Times New Roman"/>
          <w:i/>
          <w:iCs/>
          <w:color w:val="000000"/>
        </w:rPr>
        <w:t>McGregor on Damages</w:t>
      </w:r>
      <w:r>
        <w:rPr>
          <w:rFonts w:ascii="Times New Roman" w:hAnsi="Times New Roman" w:cs="Times New Roman"/>
          <w:color w:val="000000"/>
        </w:rPr>
        <w:t>, 13th ed., p. 695, Art. 1032. If the goods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are profit earning and are normally hired out, then a plaintiff can recover as damages the full market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value of such hiring during the whole period of such detention. In this case there was no evidence at all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to whether the goods were profit earning or were ever hired out. There was no evidence by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plaintiff that he had suffered any loss by the detention of the goods. However in an action for </w:t>
      </w:r>
      <w:proofErr w:type="spellStart"/>
      <w:r>
        <w:rPr>
          <w:rFonts w:ascii="Times New Roman" w:hAnsi="Times New Roman" w:cs="Times New Roman"/>
          <w:color w:val="000000"/>
        </w:rPr>
        <w:t>detinue</w:t>
      </w:r>
      <w:proofErr w:type="spellEnd"/>
      <w:r>
        <w:rPr>
          <w:rFonts w:ascii="Times New Roman" w:hAnsi="Times New Roman" w:cs="Times New Roman"/>
          <w:color w:val="000000"/>
        </w:rPr>
        <w:t>, if a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plaintiff cannot prove loss of the market rental of his goods, he may still recover damages, as a claim for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consequential loss is part of the basic claim in such an action, see </w:t>
      </w:r>
      <w:r>
        <w:rPr>
          <w:rFonts w:ascii="Times New Roman" w:hAnsi="Times New Roman" w:cs="Times New Roman"/>
          <w:i/>
          <w:iCs/>
          <w:color w:val="000000"/>
        </w:rPr>
        <w:t>McGregor on Damages</w:t>
      </w:r>
      <w:r>
        <w:rPr>
          <w:rFonts w:ascii="Times New Roman" w:hAnsi="Times New Roman" w:cs="Times New Roman"/>
          <w:color w:val="000000"/>
        </w:rPr>
        <w:t>, 13th ed., p.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701, Art. 1041. In this case the defendant had refused to hand over the goods, and in any event had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detained the concrete mixer for a considerable period. It is true that the defendant had offered to return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articles apart from the most important item, the concrete mixer, about </w:t>
      </w:r>
      <w:proofErr w:type="spellStart"/>
      <w:r>
        <w:rPr>
          <w:rFonts w:ascii="Times New Roman" w:hAnsi="Times New Roman" w:cs="Times New Roman"/>
          <w:color w:val="000000"/>
        </w:rPr>
        <w:t>tow</w:t>
      </w:r>
      <w:proofErr w:type="spellEnd"/>
      <w:r>
        <w:rPr>
          <w:rFonts w:ascii="Times New Roman" w:hAnsi="Times New Roman" w:cs="Times New Roman"/>
          <w:color w:val="000000"/>
        </w:rPr>
        <w:t xml:space="preserve"> months after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seizure. I am not convinced that the plaintiff, in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such circumstances, was not entitled to refuse to accept back only part of his goods. The defendant had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the advantage of using the articles for a considerable period and profited by such use. The trial judge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had, in his discretion, awarded damages for such detention, and I am unable to say that he had erred in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law in so doing. I would dismiss the appeal in respect of this item.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(4)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9,550/-: value of the tools and equipment detained. The plaintiff had claimed that the goods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were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12,807/-, and the trial judge had assessed the value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9,550/-. It is true that the trial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in his judgment said, “In ordinary circumstances as for example between a willing seller and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willing buyer, depreciation in value of machinery may be allowed for”. It was not clear whether the trial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took into consideration the depreciation element, especially in relation to the concrete mixer, when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assessed the value of the goods 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9,550/-. The defendant had claimed that a sum should have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deducted for depreciation. The plaintiff had stated in evidence that he had taken away shuttering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1,000/- and 1,000 gum poles worth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750/-, and the defendant contended that these sums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should have been deducted from the claim. In the plaint the plaintiff had described the articles taken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away by the defendant as “concrete mixing machine, tools, timber scaffolding, drums, wheel barrows,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poles, shuttering etc.” Despite the fact that the hearing of the case took some 15 days, so we were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informed, the evidence adduced was imprecise as it was not made clear whether the shuttering and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gum poles recovered by the plaintiff were included in the articles wrongfully detained by the defendant.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I have pointed out earlier, the valuation of goods in an action for </w:t>
      </w:r>
      <w:proofErr w:type="spellStart"/>
      <w:r>
        <w:rPr>
          <w:rFonts w:ascii="Times New Roman" w:hAnsi="Times New Roman" w:cs="Times New Roman"/>
          <w:color w:val="000000"/>
        </w:rPr>
        <w:t>detinue</w:t>
      </w:r>
      <w:proofErr w:type="spellEnd"/>
      <w:r>
        <w:rPr>
          <w:rFonts w:ascii="Times New Roman" w:hAnsi="Times New Roman" w:cs="Times New Roman"/>
          <w:color w:val="000000"/>
        </w:rPr>
        <w:t xml:space="preserve"> should be taken as at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time of judgment, and whether the value has increased or decreased would be a matter of evidence. No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relevant evidence in this regard was adduced. In the circumstances I am not prepared to say that the trial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judge had erred in any material particular when he, as he said, “of necessity” fixed an arbitrary figure of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9,550/-. I believe he had taken into consideration </w:t>
      </w:r>
      <w:r>
        <w:rPr>
          <w:rFonts w:ascii="Times New Roman" w:hAnsi="Times New Roman" w:cs="Times New Roman"/>
          <w:color w:val="000000"/>
        </w:rPr>
        <w:lastRenderedPageBreak/>
        <w:t>the various factors and circumstances, and in view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unsatisfactory evidence before him I am not prepared to interfere with the sum he had assessed as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value of the detained goods. I would dismiss the appeal in relation to this item.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In the result I would allow the appeal on item (1) and reduce the sum awarded by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4,654/-, that is,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reduce the amount awarded in that item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12,640/40, I would also allow the appeal on item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(2). I would dismiss the appeal on items (3) and (4).</w:t>
      </w:r>
      <w:r w:rsidR="00AB2B20">
        <w:rPr>
          <w:rFonts w:ascii="Times New Roman" w:hAnsi="Times New Roman" w:cs="Times New Roman"/>
          <w:color w:val="000000"/>
        </w:rPr>
        <w:t xml:space="preserve"> </w:t>
      </w:r>
    </w:p>
    <w:p w:rsidR="001D56DC" w:rsidRDefault="001D56DC" w:rsidP="00AB2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A67888" w:rsidRDefault="00A67888" w:rsidP="00AB2B2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The facts are fully set out in the judgment of Mustafa, J.A. The contract between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parties provided for the work to be completed within nine </w:t>
      </w:r>
      <w:r w:rsidR="001D56DC">
        <w:rPr>
          <w:rFonts w:ascii="Times New Roman" w:hAnsi="Times New Roman" w:cs="Times New Roman"/>
          <w:color w:val="000000"/>
        </w:rPr>
        <w:t>months that</w:t>
      </w:r>
      <w:r>
        <w:rPr>
          <w:rFonts w:ascii="Times New Roman" w:hAnsi="Times New Roman" w:cs="Times New Roman"/>
          <w:color w:val="000000"/>
        </w:rPr>
        <w:t xml:space="preserve"> is to say by 22 March 1971. Mr.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Khanna for the respondent submitted that, in these circumstances, when the appellant prevented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from completing the work under the contract on 3 April 1971, the nine months had expired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the respondent, who was not responsible for the delays which had occurred, was entitled to payment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full of the contract price. I am unable to accept this submission. Assuming time to have been originally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the essence, it became at large because of extra work ordered by the appellant and the various delays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caused by him, for which the respondent has been compensated. The judge so found, and there has been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no appeal or cross-appeal against this finding. The contract was mutually treated as having been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extended, and the respondent himself pleaded that, on 3 April 1971, the appellant wrongfully repudiated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contract. He cannot now, at this stage, be heard to contend that the contract came to an end on 22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March 1971. This is in my view a case of what is called, in </w:t>
      </w:r>
      <w:r>
        <w:rPr>
          <w:rFonts w:ascii="Times New Roman" w:hAnsi="Times New Roman" w:cs="Times New Roman"/>
          <w:i/>
          <w:iCs/>
          <w:color w:val="000000"/>
        </w:rPr>
        <w:t>Hudson’s Building and Engineering</w:t>
      </w:r>
      <w:r w:rsidR="00AB2B20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>Contracts</w:t>
      </w:r>
      <w:r>
        <w:rPr>
          <w:rFonts w:ascii="Times New Roman" w:hAnsi="Times New Roman" w:cs="Times New Roman"/>
          <w:color w:val="000000"/>
        </w:rPr>
        <w:t>, 9th ed., p. 450, prevention or wrongful termination of contract by the employer, in which case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builder is entitled by way of damages to the loss of profit he would otherwise have earned. It is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common ground that, at the date of the prevention,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17,294/40 remained due to the respondent under the contract, and that the work remaining to be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done would have cost the respondent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4,654/-. The respondent himself put his loss of profit at about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13,000/-. With all due respect to the learned trial judge, I am of opinion that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4,654/- must be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deducted from the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17,294/40 awarded under this head, reducing it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12,640/40. Nor do I know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any authority for the award of general damages in addition to loss of profit in a case of prevention, and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 would set aside the award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1,500/-damages for breach of contract awarded under this head. In my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view the first two grounds of appeal succeed.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other grounds of appeal relate to the award of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9,500/- being the value of tools and equipment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detained by the appellant, and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3,500/- damages for such wrongful detention. I agree with Mustafa,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J.A. that a plaintiff can recover both the value of his detained property, and damages for its detention.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evidence adduced in this respect was unsatisfactory and imprecise, but the judge did the best 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could on the material available to him, and although another judge might have awarded less, it has not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shown to my satisfaction that any interference with his awards is called for. I would dismiss those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grounds.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As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, JJ.A. </w:t>
      </w:r>
      <w:proofErr w:type="gramStart"/>
      <w:r>
        <w:rPr>
          <w:rFonts w:ascii="Times New Roman" w:hAnsi="Times New Roman" w:cs="Times New Roman"/>
          <w:color w:val="000000"/>
        </w:rPr>
        <w:t>agree</w:t>
      </w:r>
      <w:proofErr w:type="gramEnd"/>
      <w:r>
        <w:rPr>
          <w:rFonts w:ascii="Times New Roman" w:hAnsi="Times New Roman" w:cs="Times New Roman"/>
          <w:color w:val="000000"/>
        </w:rPr>
        <w:t>, this appeal succeeds in part, to the extent of reducing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principal sum awarded in the decree from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 xml:space="preserve">. 36,534/90 to </w:t>
      </w:r>
      <w:proofErr w:type="spellStart"/>
      <w:r>
        <w:rPr>
          <w:rFonts w:ascii="Times New Roman" w:hAnsi="Times New Roman" w:cs="Times New Roman"/>
          <w:color w:val="000000"/>
        </w:rPr>
        <w:t>Shs</w:t>
      </w:r>
      <w:proofErr w:type="spellEnd"/>
      <w:r>
        <w:rPr>
          <w:rFonts w:ascii="Times New Roman" w:hAnsi="Times New Roman" w:cs="Times New Roman"/>
          <w:color w:val="000000"/>
        </w:rPr>
        <w:t>. 30,380/90 and it is so ordered. The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order for costs made in the High Court will stand.</w:t>
      </w:r>
      <w:r w:rsidR="00AB2B20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Musoke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JA: </w:t>
      </w:r>
      <w:r>
        <w:rPr>
          <w:rFonts w:ascii="Times New Roman" w:hAnsi="Times New Roman" w:cs="Times New Roman"/>
          <w:color w:val="000000"/>
        </w:rPr>
        <w:t>I agree and have nothing to add.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allowed in part.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SC Gautama</w:t>
      </w:r>
    </w:p>
    <w:p w:rsidR="00A67888" w:rsidRDefault="00A67888" w:rsidP="00A678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A67888" w:rsidP="00A67888">
      <w:r>
        <w:rPr>
          <w:rFonts w:ascii="Times New Roman" w:hAnsi="Times New Roman" w:cs="Times New Roman"/>
          <w:i/>
          <w:iCs/>
          <w:color w:val="000000"/>
        </w:rPr>
        <w:t xml:space="preserve">DN Khanna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Khanna &amp; Co</w:t>
      </w:r>
      <w:r>
        <w:rPr>
          <w:rFonts w:ascii="Times New Roman" w:hAnsi="Times New Roman" w:cs="Times New Roman"/>
          <w:color w:val="000000"/>
        </w:rPr>
        <w:t>, Nairobi)</w:t>
      </w:r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888"/>
    <w:rsid w:val="001D56DC"/>
    <w:rsid w:val="00664035"/>
    <w:rsid w:val="00A67888"/>
    <w:rsid w:val="00AB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00C29-A765-42F1-95B7-B2EF0818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2069</Words>
  <Characters>11799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4</cp:revision>
  <dcterms:created xsi:type="dcterms:W3CDTF">2018-07-05T12:53:00Z</dcterms:created>
  <dcterms:modified xsi:type="dcterms:W3CDTF">2018-07-12T08:53:00Z</dcterms:modified>
</cp:coreProperties>
</file>