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Dhukale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Universal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Tpt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Co and others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May 1974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2/1971 (110/74)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Privilege – Police traffic file – Generally not privileged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>. 80) s. 132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Evidence – Privilege – Observations of public officer – Not privileged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>. 80) s.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132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D238C8" w:rsidRDefault="0058133C" w:rsidP="005813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238C8" w:rsidRDefault="00D238C8" w:rsidP="005813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r>
        <w:rPr>
          <w:rFonts w:ascii="Times New Roman" w:hAnsi="Times New Roman" w:cs="Times New Roman"/>
          <w:color w:val="000000"/>
        </w:rPr>
        <w:t xml:space="preserve">The Officer-in-Charge of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was summoned under O. 15 r. 1 of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 Procedure Rules to appear in court on 20 May 1974 to give evidence on behalf of the plaintiff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produce the police accident file relating to her claim against the four defendants for damages for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arising out of an accident which occurred on 27 April 1970 when the vehicle owned by the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defendant, in which she was a passenger, collided with the vehicle owned by the third defendant on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Mombasa-Nairobi road and she was injured.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letter dated 16 May from the O.C. Police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>
        <w:rPr>
          <w:rFonts w:ascii="Times New Roman" w:hAnsi="Times New Roman" w:cs="Times New Roman"/>
          <w:color w:val="000000"/>
        </w:rPr>
        <w:t xml:space="preserve"> to the Deputy Registrar, High Court Mombasa,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copy to the Senior Assistant Commissioner of Police Mombasa with a reference to F.O. No. 20/73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 Production of Traffic Investigation Files in Civil Cases, it is stated–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Officer will attend Court as summoned but will not produce the requested accident file because this will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to infringement of State copyright. The Officer will claim for privilege following the ruling in the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Mohindra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Mathras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Dass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(1941), 19 K.L.R. 67.”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Force Order dated 1 October 1973 is in the following terms: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Production of Traffic Investigation Files in Civil Cases</w:t>
      </w:r>
      <w:r w:rsidR="0058133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has come to notice that the officers-in-charge of Police Stations are receiving civil summonses (civil 16A)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addressed to them, in respect of civil cases arising out of traffic accidents which are endorsed in the following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‘To produce Police Record of the accident which occurred on (date) together with all relevant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documents also the Police investigation file traffic case No. (stated) and to give evidence.’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Officers in charge of Police Stations are reminded that the production of any document, photograph,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sketch plan is improper and infringement of state copyright. Similarly Police witnesses cannot be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permitted to refresh their memories in Court from statements made earlier in the Police investigation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this entails such statement being open to inspection by the Court and both parties which in itself, is a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breach of privilege.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 only information which may be given to either party in such circumstances is a list of the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 interviewed and then only after completion of criminal proceedings.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Officers in charge of Stations who receive civil summonses in the form mentioned above should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 in Court as required and then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claim privilege following upon the ruling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Mohindra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Mathra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Dass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(1941), 19 K.L.R. 67.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Any officer in any doubt about the procedure to be followed in a particular case should refer the matter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DCIO/PCIO. If any particular Court or Magistrate persistently issues summonses with such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endorsement a report, giving all relevant details, will be submitted to this Headquarters through normal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channels, for further action.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officers are asked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familiarise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themselves with case and ensure that it is made subject of frequent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lectures to Subordinate officers. The case will be included in the syllabus of the Police College, C.I.D.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Training School and other training institutes.”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Force Order can only have the force of law if it comes within s. 132 of the Evidence Act as amended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Schedule to the Statute Law (Miscellaneous Amendments) Act 1972 which provides: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“132. No public officer shall be compelled to disclose communications made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by any person </w:t>
      </w:r>
      <w:r>
        <w:rPr>
          <w:rFonts w:ascii="Times New Roman" w:hAnsi="Times New Roman" w:cs="Times New Roman"/>
          <w:color w:val="000000"/>
          <w:sz w:val="20"/>
          <w:szCs w:val="20"/>
        </w:rPr>
        <w:t>to him in the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course of his duty, when he considers that the public interest would suffer by the disclosure.”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underlined the words added by the amendment.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Mohindra’s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it was held on appeal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production in the magistrate’s court of a communication made by an informer to the police was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 withheld under the section as it was not in the public interest that the names of persons who are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channel by means of which detection of crime is made should be unnecessarily disclosed. In that case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stated that the police officer was acting on the instructions of the Commissioner of Police. With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I doubt whether the Commissioner of Police can effectively issue such a blanket prohibition.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section each claim for privilege has to be considered on its merits.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Sondhi</w:t>
      </w:r>
      <w:proofErr w:type="spellEnd"/>
      <w:r>
        <w:rPr>
          <w:rFonts w:ascii="Times New Roman" w:hAnsi="Times New Roman" w:cs="Times New Roman"/>
          <w:color w:val="000000"/>
        </w:rPr>
        <w:t>, [1967] E.A. 624 the East African Court of Appeal held that a police officer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entitled to claim privilege in respect of the facts upon which he had reached his conclusion that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property had been stolen without the complicity of the defendant. On s. 132 of the Evidence Act it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by a majority, that </w:t>
      </w:r>
      <w:r>
        <w:rPr>
          <w:rFonts w:ascii="Times New Roman" w:hAnsi="Times New Roman" w:cs="Times New Roman"/>
          <w:color w:val="000000"/>
        </w:rPr>
        <w:lastRenderedPageBreak/>
        <w:t>“Communications made to an official in the course of his duty” read with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marginal note “Privilege of official communications” ordinarily related to official source. This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the section probably led to the 1972 amendment;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“if privilege is claimed the witness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required by the court to explain the circumstances in which the privilege is claimed to enable the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to decide whether the public interest would suffer by the disclosure (per Newbold, P.) </w:t>
      </w:r>
      <w:proofErr w:type="gramStart"/>
      <w:r>
        <w:rPr>
          <w:rFonts w:ascii="Times New Roman" w:hAnsi="Times New Roman" w:cs="Times New Roman"/>
          <w:color w:val="000000"/>
        </w:rPr>
        <w:t>but</w:t>
      </w:r>
      <w:proofErr w:type="gramEnd"/>
      <w:r>
        <w:rPr>
          <w:rFonts w:ascii="Times New Roman" w:hAnsi="Times New Roman" w:cs="Times New Roman"/>
          <w:color w:val="000000"/>
        </w:rPr>
        <w:t xml:space="preserve"> (per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Spry, J.A.) not to the extent of considering whether the communication is in fact one of which disclosure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ought not to be compelled”. Per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>, J.A. as he then was at p. 630: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other question that arises would be whether the courts have any discretion or control in the matter or is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determination left entirely to the discretion of the public officer? There can be no doubt that the court can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compel a witness to answer a question and further it is clear that it is for the public officer to claim the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privilege under the section. If a public officer does claim privilege the court must undoubtedly satisfy itself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communication comes within the definition of an official communication and I agree with the learned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President that the court must then have some discretion in deciding whether public interest would suffer by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disclosure. I agree that the court must be able to inquire into the circumstances under which the claim is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so as to satisfy itself that the claim to privilege under s. 132 is properly made. This gives a broad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construction to this part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of the section but I am satisfied that this must have been the intention of the legislature as to hold otherwise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lead to a complete denial of justice in cases in which the privilege claimed could not possibly come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meaning of s. 132.”</w:t>
      </w:r>
      <w:r w:rsidR="005813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 it is for the courts, and not for the Commissioner of Police, to decide whether privilege in the public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can be claimed in respect of particular matters contained in a police file relating to a traffic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accident. It is clearly in the public interest, and not against it, that the police should assist the victims of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traffic accidents in obtaining compensation arising out of negligent driving on public roads. It is not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unusual for these civil claims to come to court some three years after the accident, in which case the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police officer who visited the scene and from his own observations made a sketch plan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showing the position of the vehicles, marks on the road etc. is often the only reliable independent witness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what occurred. By this time any criminal proceedings will have been disposed of. Also the production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sketch plan can lead to the settlement of claims, which is desirable. As I see it s. 132 of the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Act does not even apply where a police officer is giving evidence of what he observed and not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any matter which was communicated to him. As regards the Force Order I am unable to understand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any question of State copyright can arise. Nor can I see any objection to police officers refreshing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memories from the police file of past events. Para. 5 of the form of the abstract from a police record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accident provides for the supplying of copies of witnesses’ statements with their consent and no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privilege is claimed in respect of these statements.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view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Mohindra’s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has no application to the question of admissible police evidence of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traffic accidents, if it has not in fact been overruled by the later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It is for the police officer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satisfy the court in any particular case that he can claim privilege in the public interest in respect of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communications which are made to him in the course of his duty. He is in the same position as any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witness summoned to give evidence or produce documents under O. 15 r. 1 of the Civil Procedure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Rules and failure to comply with the summons may result in the penalties provided by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rr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. 10, 11 and 12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Order.</w:t>
      </w:r>
      <w:r w:rsidR="005813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Jiwaji</w:t>
      </w:r>
      <w:proofErr w:type="spellEnd"/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defendants: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Bryson,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Bowyer</w:t>
      </w:r>
      <w:r>
        <w:rPr>
          <w:rFonts w:ascii="Times New Roman" w:hAnsi="Times New Roman" w:cs="Times New Roman"/>
          <w:color w:val="000000"/>
        </w:rPr>
        <w:t>, Mombasa)</w:t>
      </w:r>
    </w:p>
    <w:p w:rsidR="00D238C8" w:rsidRDefault="00D238C8" w:rsidP="00D23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defendants:</w:t>
      </w:r>
    </w:p>
    <w:p w:rsidR="003278A0" w:rsidRDefault="00D238C8" w:rsidP="00D238C8">
      <w:r>
        <w:rPr>
          <w:rFonts w:ascii="Times New Roman" w:hAnsi="Times New Roman" w:cs="Times New Roman"/>
          <w:i/>
          <w:iCs/>
          <w:color w:val="000000"/>
        </w:rPr>
        <w:t xml:space="preserve">WS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Deverell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C8"/>
    <w:rsid w:val="003278A0"/>
    <w:rsid w:val="0058133C"/>
    <w:rsid w:val="00D2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C508-056B-4EF8-A0F7-A87BAD5D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2018-07-06T11:45:00Z</dcterms:created>
  <dcterms:modified xsi:type="dcterms:W3CDTF">2018-07-12T08:54:00Z</dcterms:modified>
</cp:coreProperties>
</file>