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Diamond Trust Bank of Kenya Ltd v Ply and Panels Ltd and others</w:t>
      </w:r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27 February 2004</w:t>
      </w:r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243/02</w:t>
      </w:r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Civil procedure – Judgment – By consent – Setting aside – Whether consent judgment may be set aside –</w:t>
      </w:r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Grounds for setting aside consent judgment – Order XLIV, rule 1 – Civil Procedure Rules.</w:t>
      </w:r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A30BDE" w:rsidRDefault="0082180A" w:rsidP="00A30B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Appellant, Diamond Trust Bank (K) Ltd, by two debentures registered on 11 April 1995 and 17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January 1997, lent to the First Respondent a total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100 000 000. As additional security for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loan two charges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registered against the title number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>
        <w:rPr>
          <w:rFonts w:ascii="Times New Roman" w:hAnsi="Times New Roman" w:cs="Times New Roman"/>
          <w:color w:val="000000"/>
        </w:rPr>
        <w:t xml:space="preserve"> Municipality Block 8/21 belonging to the Second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Respondent. The Third, Fourth, Fifth and Sixth Respondents by way of additional security, provided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personal guarantees for the repayment of the sum lent to the First Respondent. The sum lent was not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repaid in terms of the agreement between the parties and </w:t>
      </w:r>
      <w:proofErr w:type="spellStart"/>
      <w:r>
        <w:rPr>
          <w:rFonts w:ascii="Times New Roman" w:hAnsi="Times New Roman" w:cs="Times New Roman"/>
          <w:color w:val="000000"/>
        </w:rPr>
        <w:t>some time</w:t>
      </w:r>
      <w:proofErr w:type="spellEnd"/>
      <w:r>
        <w:rPr>
          <w:rFonts w:ascii="Times New Roman" w:hAnsi="Times New Roman" w:cs="Times New Roman"/>
          <w:color w:val="000000"/>
        </w:rPr>
        <w:t xml:space="preserve"> in the year 2000 the Appellant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recalled the loan. The Respondents thereupon instituted proceedings against the Appellant seeking taking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accounts, interim injunction against enforcement of the recovery and damages for breach of contract,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among other prayers. The Respondents also took out a chamber summons seeking injunctive relief which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granted on 2 May 2000. The parties thereupon entered into negotiations and on 16 May 2000 they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 to the Court a comprehensive consent agreement which was made a decree of court. The consent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granted the Respondents relief of five months within which to pay the outstanding amount.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time was set to expire on 6 October 2000. On 4 October 2000, two days before the expiry period,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 made an application to the Court praying that the consent judgment be set aside. The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 for setting aside the consent judgment were that the sum specified in the consent judgment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contained a very substantial sum by way of penal interest, that no accounts were taken before the said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consent judgment was recorded and that there were certain misrepresentations. This application was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granted precipitating the appeal to the Court of Appeal.</w:t>
      </w:r>
      <w:r w:rsidR="00A30BDE">
        <w:rPr>
          <w:rFonts w:ascii="Times New Roman" w:hAnsi="Times New Roman" w:cs="Times New Roman"/>
          <w:color w:val="000000"/>
        </w:rPr>
        <w:t xml:space="preserve"> </w:t>
      </w:r>
    </w:p>
    <w:p w:rsidR="00A30BDE" w:rsidRDefault="00A30BDE" w:rsidP="00A30B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2180A" w:rsidRDefault="0082180A" w:rsidP="00A30B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 consent judgment may only be set aside on the grounds of fraud or collusion, mistake or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misrepresentation. An advocate had ostensible authority to reach a compromise on behalf of a client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Brooke Bond Liebig (T)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Mallya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[1975] EA 266,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Wasike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Wamboko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[1982–88] 1 KAR 266 and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Kenya Commercial Bank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Benjoh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Amalgamated Ltd and another </w:t>
      </w:r>
      <w:r>
        <w:rPr>
          <w:rFonts w:ascii="Times New Roman" w:hAnsi="Times New Roman" w:cs="Times New Roman"/>
          <w:color w:val="000000"/>
        </w:rPr>
        <w:t>[1997] LLR 640 (CAK) followed).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Respondents’ application for setting aside the consent judgment was made merely to try to avoid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obligations under the judgment as it was made after inordinate delay only two days before expiry of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time. Further, the Respondents’ advocates had ostensible authority to reach a compromise on their behalf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advocates never complained that they had been cheated or misled.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Githinji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 </w:t>
      </w:r>
      <w:r>
        <w:rPr>
          <w:rFonts w:ascii="Times New Roman" w:hAnsi="Times New Roman" w:cs="Times New Roman"/>
          <w:color w:val="000000"/>
        </w:rPr>
        <w:t>– Where the consent judgment impugned has been executed as in the present case, the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are less likely to set aside the consent judgment (</w:t>
      </w:r>
      <w:r>
        <w:rPr>
          <w:rFonts w:ascii="Times New Roman" w:hAnsi="Times New Roman" w:cs="Times New Roman"/>
          <w:i/>
          <w:iCs/>
          <w:color w:val="000000"/>
        </w:rPr>
        <w:t>F and G Sykes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Wessex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>) Ltd v Fine Fare Ltd</w:t>
      </w:r>
      <w:r w:rsidR="00A30BD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[1967] </w:t>
      </w:r>
      <w:proofErr w:type="spellStart"/>
      <w:r>
        <w:rPr>
          <w:rFonts w:ascii="Times New Roman" w:hAnsi="Times New Roman" w:cs="Times New Roman"/>
          <w:color w:val="000000"/>
        </w:rPr>
        <w:t>Llyods</w:t>
      </w:r>
      <w:proofErr w:type="spellEnd"/>
      <w:r>
        <w:rPr>
          <w:rFonts w:ascii="Times New Roman" w:hAnsi="Times New Roman" w:cs="Times New Roman"/>
          <w:color w:val="000000"/>
        </w:rPr>
        <w:t xml:space="preserve"> Rep 53 adopted).</w:t>
      </w:r>
      <w:r w:rsidR="00A30BD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allowed.</w:t>
      </w:r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Brooke Bond Liebig (T)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Mallya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[1975] EA 266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Hiram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[1952] 19 EACA 131</w:t>
      </w:r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Kenya Commercial Bank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Benjoh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Amalgamated Ltd and another </w:t>
      </w:r>
      <w:r>
        <w:rPr>
          <w:rFonts w:ascii="Times New Roman" w:hAnsi="Times New Roman" w:cs="Times New Roman"/>
          <w:color w:val="000000"/>
        </w:rPr>
        <w:t xml:space="preserve">[1997] LLR 640 (CAK)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Mukisa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v West End </w:t>
      </w:r>
      <w:r>
        <w:rPr>
          <w:rFonts w:ascii="Times New Roman" w:hAnsi="Times New Roman" w:cs="Times New Roman"/>
          <w:color w:val="000000"/>
        </w:rPr>
        <w:t>[1970] EA 469</w:t>
      </w:r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Wasike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Wamboko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[1982–88] 1 KAR 266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82180A" w:rsidRDefault="0082180A" w:rsidP="00821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bookmarkStart w:id="0" w:name="_GoBack"/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bookmarkEnd w:id="0"/>
    <w:p w:rsidR="0021070D" w:rsidRDefault="0082180A" w:rsidP="0082180A">
      <w:r>
        <w:rPr>
          <w:rFonts w:ascii="Times New Roman" w:hAnsi="Times New Roman" w:cs="Times New Roman"/>
          <w:i/>
          <w:iCs/>
          <w:color w:val="000000"/>
        </w:rPr>
        <w:lastRenderedPageBreak/>
        <w:t>F and G Sykes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Wessex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) Ltd v Fine Fare Ltd </w:t>
      </w:r>
      <w:r>
        <w:rPr>
          <w:rFonts w:ascii="Times New Roman" w:hAnsi="Times New Roman" w:cs="Times New Roman"/>
          <w:color w:val="000000"/>
        </w:rPr>
        <w:t xml:space="preserve">[1967] </w:t>
      </w:r>
      <w:proofErr w:type="spellStart"/>
      <w:r>
        <w:rPr>
          <w:rFonts w:ascii="Times New Roman" w:hAnsi="Times New Roman" w:cs="Times New Roman"/>
          <w:color w:val="000000"/>
        </w:rPr>
        <w:t>Llyods</w:t>
      </w:r>
      <w:proofErr w:type="spellEnd"/>
      <w:r>
        <w:rPr>
          <w:rFonts w:ascii="Times New Roman" w:hAnsi="Times New Roman" w:cs="Times New Roman"/>
          <w:color w:val="000000"/>
        </w:rPr>
        <w:t xml:space="preserve"> Rep 53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sectPr w:rsidR="0021070D" w:rsidSect="00A30BDE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0A"/>
    <w:rsid w:val="0021070D"/>
    <w:rsid w:val="0082180A"/>
    <w:rsid w:val="00A3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5B494-B177-4676-B13A-FF43BBA0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2018-07-04T13:36:00Z</dcterms:created>
  <dcterms:modified xsi:type="dcterms:W3CDTF">2018-07-12T08:55:00Z</dcterms:modified>
</cp:coreProperties>
</file>