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563" w:rsidRDefault="00421563" w:rsidP="00421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Diamond Trust Bank of Kenya Ltd v Ply and Panels Ltd and others</w:t>
      </w:r>
    </w:p>
    <w:p w:rsidR="00421563" w:rsidRDefault="00421563" w:rsidP="00421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421563" w:rsidRDefault="00421563" w:rsidP="00421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27 February 2004</w:t>
      </w:r>
    </w:p>
    <w:p w:rsidR="00421563" w:rsidRDefault="00421563" w:rsidP="00421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243/02</w:t>
      </w:r>
    </w:p>
    <w:p w:rsidR="00421563" w:rsidRDefault="00421563" w:rsidP="00421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Shah and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421563" w:rsidRDefault="00421563" w:rsidP="00421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421563" w:rsidRDefault="00421563" w:rsidP="00421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421563" w:rsidRDefault="00421563" w:rsidP="00421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Civil procedure – Judgment – By consent – Setting aside – Whether consent judgment may be set aside –</w:t>
      </w:r>
    </w:p>
    <w:p w:rsidR="00421563" w:rsidRDefault="00421563" w:rsidP="00421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Grounds for setting aside consent judgment – Order XLIV, rule 1 – Civil Procedure Rules.</w:t>
      </w:r>
    </w:p>
    <w:p w:rsidR="00421563" w:rsidRDefault="001E7494" w:rsidP="001E749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E7494" w:rsidRDefault="00421563" w:rsidP="001E74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Omolo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 xml:space="preserve">In </w:t>
      </w:r>
      <w:r>
        <w:rPr>
          <w:rFonts w:ascii="Times New Roman" w:hAnsi="Times New Roman" w:cs="Times New Roman"/>
          <w:i/>
          <w:iCs/>
          <w:color w:val="000000"/>
        </w:rPr>
        <w:t xml:space="preserve">Brooke Bond Liebig (T) Ltd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Mallya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[1975] EA 266, the then Court of Appeal for East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Africa set out the circumstances in which a consent judgment, freely entered into by the parties to a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dispute in court, would be set aside by the courts. Delivering the leading judgment of the Court, Law AP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expressed himself thus: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circumstances in which a consent judgment may be interfered with were considered by this Court in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Hiram v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Kassam</w:t>
      </w:r>
      <w:proofErr w:type="spellEnd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[1952] 19 EACA 131 where the following passage from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Seton on Judgments and Orders </w:t>
      </w:r>
      <w:r>
        <w:rPr>
          <w:rFonts w:ascii="Times New Roman" w:hAnsi="Times New Roman" w:cs="Times New Roman"/>
          <w:color w:val="000000"/>
          <w:sz w:val="20"/>
          <w:szCs w:val="20"/>
        </w:rPr>
        <w:t>(7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ed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) Volume I at 124 was approved: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‘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Prima facie</w:t>
      </w:r>
      <w:r>
        <w:rPr>
          <w:rFonts w:ascii="Times New Roman" w:hAnsi="Times New Roman" w:cs="Times New Roman"/>
          <w:color w:val="000000"/>
          <w:sz w:val="20"/>
          <w:szCs w:val="20"/>
        </w:rPr>
        <w:t>, any order made in the presence and with the consent of the counsel is binding on all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parties to the proceedings or action, and on those claiming under them … and cannot be varied or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discharged unless obtained by fraud or collusion, or by an agreement contrary to the policy of the court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or if consent was given without sufficient material facts, or in misapprehension or in ignorance of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material facts, or in general for a reason which would enable the court to set aside an agreement’.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such circumstances have been shown to exist in this case. There is no suggestion of fraud or collusion. All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material facts were known to the parties who consented to the compromise in terms 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clear and unequivocal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as to leave no room for any possibility of mistake or misapprehension. As Windham J said in the introduction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to the passage quoted above from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Hiranis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’ case, a court cannot interfere with a consent judgment except in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such circumstances as would afford good ground for varying or rescinding it”.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For his part Mustafa AVP had this to say: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“The compromise agreement was made an order of the court and was thus a consent judgment. It is well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settled that a consent judgment can be set aside only in certain circumstances, for example on the ground of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fraud or collusion, that there was no consensus between the parties, public policy or for such reasons as would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enable a court to set aside or rescind a contract. In this case the parties and their advocates consented to the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compromise in very clear terms; they were certainly aware of all the material facts and there could have been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no mistake or misunderstanding. None of the factors which could give rise to the setting aside of a consent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agreement existed”.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Kenya Court of Appeal applied these principles, first in the case of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Wasike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Wamboko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[1982–88] 1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KAR 266 where the main holdings of the Court were as follows: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(1) It is settled law that a consent judgment can only be set aside on the same grounds as would justify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setting aside of a contract, for example fraud, mistake, or misrepresentation.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 An advocate would have ostensible authority to compromise a suit or consent to a judgment, so far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opponent is concerned.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(3) The Court would not readily assume that a judgment recorded by a judge as being by consent was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not so unless it was demonstrably shown otherwise.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Next these decisions were followed by this Court in the recent case of </w:t>
      </w:r>
      <w:r>
        <w:rPr>
          <w:rFonts w:ascii="Times New Roman" w:hAnsi="Times New Roman" w:cs="Times New Roman"/>
          <w:i/>
          <w:iCs/>
          <w:color w:val="000000"/>
        </w:rPr>
        <w:t>Kenya Commercial Bank Ltd v</w:t>
      </w:r>
      <w:r w:rsidR="001E7494"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Benjoh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Amalgamated Ltd and another </w:t>
      </w:r>
      <w:r>
        <w:rPr>
          <w:rFonts w:ascii="Times New Roman" w:hAnsi="Times New Roman" w:cs="Times New Roman"/>
          <w:color w:val="000000"/>
        </w:rPr>
        <w:t>[1997] LLR 640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(CAK), where the Court considered all the previous authorities on the subject of setting aside consent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judgments and concluded as follows: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“Those, in essence, are the principles which the Learned Judge should have applied to determine the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application before him. Applying those principles to this case, we can find no circumstances that could have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entitled the Judge to vary or rescind the consent order”.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For the purposes of my judgment, the brief facts underlying this dispute are that by two debentures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registered respectively on 11 April 1995 and 17 January 1997, Diamond Trust Bank (K) Limited, the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hereinafter, lent to Ply and Panels Limited, the First Respondent, the total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000 000. As additional security for the loan two charges were registered against title number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Municipality Block 8/21; that property belonged to </w:t>
      </w:r>
      <w:proofErr w:type="spellStart"/>
      <w:r>
        <w:rPr>
          <w:rFonts w:ascii="Times New Roman" w:hAnsi="Times New Roman" w:cs="Times New Roman"/>
          <w:color w:val="000000"/>
        </w:rPr>
        <w:t>Uni</w:t>
      </w:r>
      <w:proofErr w:type="spellEnd"/>
      <w:r>
        <w:rPr>
          <w:rFonts w:ascii="Times New Roman" w:hAnsi="Times New Roman" w:cs="Times New Roman"/>
          <w:color w:val="000000"/>
        </w:rPr>
        <w:t>-Prop Limited, the Second Respondent herein.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Again </w:t>
      </w:r>
      <w:proofErr w:type="spellStart"/>
      <w:r>
        <w:rPr>
          <w:rFonts w:ascii="Times New Roman" w:hAnsi="Times New Roman" w:cs="Times New Roman"/>
          <w:color w:val="000000"/>
        </w:rPr>
        <w:t>Narwar</w:t>
      </w:r>
      <w:proofErr w:type="spellEnd"/>
      <w:r>
        <w:rPr>
          <w:rFonts w:ascii="Times New Roman" w:hAnsi="Times New Roman" w:cs="Times New Roman"/>
          <w:color w:val="000000"/>
        </w:rPr>
        <w:t xml:space="preserve"> Singh </w:t>
      </w:r>
      <w:proofErr w:type="spellStart"/>
      <w:r>
        <w:rPr>
          <w:rFonts w:ascii="Times New Roman" w:hAnsi="Times New Roman" w:cs="Times New Roman"/>
          <w:color w:val="000000"/>
        </w:rPr>
        <w:t>Bhogal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Gurbux</w:t>
      </w:r>
      <w:proofErr w:type="spellEnd"/>
      <w:r>
        <w:rPr>
          <w:rFonts w:ascii="Times New Roman" w:hAnsi="Times New Roman" w:cs="Times New Roman"/>
          <w:color w:val="000000"/>
        </w:rPr>
        <w:t xml:space="preserve"> Singh </w:t>
      </w:r>
      <w:proofErr w:type="spellStart"/>
      <w:r>
        <w:rPr>
          <w:rFonts w:ascii="Times New Roman" w:hAnsi="Times New Roman" w:cs="Times New Roman"/>
          <w:color w:val="000000"/>
        </w:rPr>
        <w:t>Bhogal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Bhupinder</w:t>
      </w:r>
      <w:proofErr w:type="spellEnd"/>
      <w:r>
        <w:rPr>
          <w:rFonts w:ascii="Times New Roman" w:hAnsi="Times New Roman" w:cs="Times New Roman"/>
          <w:color w:val="000000"/>
        </w:rPr>
        <w:t xml:space="preserve"> Singh </w:t>
      </w:r>
      <w:proofErr w:type="spellStart"/>
      <w:r>
        <w:rPr>
          <w:rFonts w:ascii="Times New Roman" w:hAnsi="Times New Roman" w:cs="Times New Roman"/>
          <w:color w:val="000000"/>
        </w:rPr>
        <w:t>Bhogal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Jaspal</w:t>
      </w:r>
      <w:proofErr w:type="spellEnd"/>
      <w:r>
        <w:rPr>
          <w:rFonts w:ascii="Times New Roman" w:hAnsi="Times New Roman" w:cs="Times New Roman"/>
          <w:color w:val="000000"/>
        </w:rPr>
        <w:t xml:space="preserve"> Singh </w:t>
      </w:r>
      <w:proofErr w:type="spellStart"/>
      <w:r>
        <w:rPr>
          <w:rFonts w:ascii="Times New Roman" w:hAnsi="Times New Roman" w:cs="Times New Roman"/>
          <w:color w:val="000000"/>
        </w:rPr>
        <w:t>Bhogal</w:t>
      </w:r>
      <w:proofErr w:type="spellEnd"/>
      <w:r>
        <w:rPr>
          <w:rFonts w:ascii="Times New Roman" w:hAnsi="Times New Roman" w:cs="Times New Roman"/>
          <w:color w:val="000000"/>
        </w:rPr>
        <w:t>,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Third, Fourth, Fifth and Sixth Respondents herein, provided their personal guarantees for the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repayment of the sum lent to the First Respondent. As is usual in these circumstances the sum lent was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not repaid in terms of the agreement between the parties and </w:t>
      </w:r>
      <w:proofErr w:type="spellStart"/>
      <w:r>
        <w:rPr>
          <w:rFonts w:ascii="Times New Roman" w:hAnsi="Times New Roman" w:cs="Times New Roman"/>
          <w:color w:val="000000"/>
        </w:rPr>
        <w:t>some time</w:t>
      </w:r>
      <w:proofErr w:type="spellEnd"/>
      <w:r>
        <w:rPr>
          <w:rFonts w:ascii="Times New Roman" w:hAnsi="Times New Roman" w:cs="Times New Roman"/>
          <w:color w:val="000000"/>
        </w:rPr>
        <w:t xml:space="preserve"> in the year 2000 the Appellant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recalled the loan. The Respondents thereupon instituted proceedings against the Appellant and according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to plaint filed in the High Court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on 2 May 2000, the prayers </w:t>
      </w:r>
      <w:r>
        <w:rPr>
          <w:rFonts w:ascii="Times New Roman" w:hAnsi="Times New Roman" w:cs="Times New Roman"/>
          <w:color w:val="000000"/>
        </w:rPr>
        <w:lastRenderedPageBreak/>
        <w:t>which the Respondents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against the Appellant were: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“(a) An order that proper accounts be taken to determine the amount, if any, lawfully and legitimately due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from the First Plaintiff to the Defendant;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(b) If any amount is found due from the First Plaintiff to the Defendant judgment be entered for such an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amount in favour of the Defendant with a proviso that payment thereof be postponed and/or be made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in instalments in the terms to be set out by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(c) In the interim the Defendant by itself and/or its agents/servants be restrained in any manner including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by way of appointment of receiver/manager against the Plaintiffs or any of them from enforcing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recovery of any money allegedly due under any security documents until determination of this suit.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(d) Damages for breach of contract.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(e) Costs.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 )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Value Added Tax on the costs.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(g) Such other or further relief as this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Court may deem fit”.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Accompanying the plaint was a chamber summons under a certificate of urgency, and the summons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sought injunctive reliefs in terms of prayer (e) in the plaint.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Justice </w:t>
      </w:r>
      <w:proofErr w:type="spellStart"/>
      <w:r>
        <w:rPr>
          <w:rFonts w:ascii="Times New Roman" w:hAnsi="Times New Roman" w:cs="Times New Roman"/>
          <w:color w:val="000000"/>
        </w:rPr>
        <w:t>Rimita</w:t>
      </w:r>
      <w:proofErr w:type="spellEnd"/>
      <w:r>
        <w:rPr>
          <w:rFonts w:ascii="Times New Roman" w:hAnsi="Times New Roman" w:cs="Times New Roman"/>
          <w:color w:val="000000"/>
        </w:rPr>
        <w:t xml:space="preserve"> duly granted the injunctive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relief on 2 May 2000. It appears that after the injunctive relief was granted the parties entered into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negotiations and on 16 May 2000, they sent to the High Court a detailed consent document which was on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same day made a decree of the Court. The terms of that decree were:</w:t>
      </w:r>
      <w:r w:rsidR="001E7494">
        <w:rPr>
          <w:rFonts w:ascii="Times New Roman" w:hAnsi="Times New Roman" w:cs="Times New Roman"/>
          <w:color w:val="000000"/>
        </w:rPr>
        <w:t xml:space="preserve"> </w:t>
      </w:r>
    </w:p>
    <w:p w:rsidR="001E7494" w:rsidRDefault="00421563" w:rsidP="001E74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“1. The parties having taken accounts, it is hereby agreed and admitted by the Plaintiffs that the sum due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by them to the Defendant as at 2 May 2000 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106 625 065,18 (Kenya Shillings one hundred and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six million six hundred twenty five thousand and sixty five cents eighteen).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2. I t is hereby agreed by the Plaintiffs that the said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106 625 065,18 (Kenya Shillings one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hundred and six million six hundred twenty five thousand and sixty five cents eighteen) shall accrue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at the Defendant bank’s base rate (from time to time) plus 4% per annum from 3 May 2000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until payment in full.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Plaintiffs hereby acknowledge that the said sum of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106 625 065</w:t>
      </w: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,18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(Kenya Shillings one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hundred and six million six hundred twenty five thousand and sixty five cents eighteen) together with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interest as aforesaid shall become due and payable on the 5 October 2000.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Defendant whether by itself, its agent and/or servants be and is hereby restrained from appointing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 receiver/manager or disposing of the properties secured by the debentures and charges issued and/or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granted by the First and Second Plaintiffs in favour of the Defendant or enforcing the personal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guarantees of all the Plaintiffs granted in favour of the Defendant until 5 October 2000 but without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prejudice to the Defendant’s right to inspect the plant machinery land and buildings secured by the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debentures and charges (on giving reasonable notice) and to issue any notices thereunder.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5. U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nless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amount as aforesaid (clause 1 and 2) is paid in full on the 6 October 2000 the injunction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referred to in 4 above shall stand discharged and vacated and the Defendant shall be at liberty to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exercise all its powers under the said debentures and charges including but not limited to appointment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of receivers and managers and disposal of the plant, machinery, land and buildings whether by public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auction or by private treaty.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6. C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osts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to the Defendant to be agreed or in default to be taxed.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T his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suit and all issues between the parties hereto be marked as settled on the terms enumerated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hereinabove”.</w:t>
      </w:r>
      <w:r w:rsidR="001E749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The consent document which gave birth to these orders was written on the letterheads of the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Respondents’ advocates and was duly signed by the respective advocates of the parties. Accordingly,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could not have been any question of undue influence by one side over the other. Indeed at the time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document was signed, there was already in force an order of injunction restraining the Appellant from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enforcing its rights under the debentures and charges. The terms of the consent order gave to the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Respondents a breathing space of nearly five months during which time the Appellant was </w:t>
      </w:r>
      <w:proofErr w:type="spellStart"/>
      <w:r>
        <w:rPr>
          <w:rFonts w:ascii="Times New Roman" w:hAnsi="Times New Roman" w:cs="Times New Roman"/>
          <w:color w:val="000000"/>
        </w:rPr>
        <w:t>injuncted</w:t>
      </w:r>
      <w:proofErr w:type="spellEnd"/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from enforcing its right under the debentures and the charges.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Sehmi</w:t>
      </w:r>
      <w:proofErr w:type="spellEnd"/>
      <w:r>
        <w:rPr>
          <w:rFonts w:ascii="Times New Roman" w:hAnsi="Times New Roman" w:cs="Times New Roman"/>
          <w:color w:val="000000"/>
        </w:rPr>
        <w:t xml:space="preserve"> who argued the case of the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Respondents, freely admitted before us that the Respondents became aware of the consent judgment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almost immediately. The Respondents did not do anything about the matter until 4 October 2000, two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days before the day of reckoning, when they ran back to </w:t>
      </w:r>
      <w:proofErr w:type="spellStart"/>
      <w:r>
        <w:rPr>
          <w:rFonts w:ascii="Times New Roman" w:hAnsi="Times New Roman" w:cs="Times New Roman"/>
          <w:color w:val="000000"/>
        </w:rPr>
        <w:t>Rimita</w:t>
      </w:r>
      <w:proofErr w:type="spellEnd"/>
      <w:r>
        <w:rPr>
          <w:rFonts w:ascii="Times New Roman" w:hAnsi="Times New Roman" w:cs="Times New Roman"/>
          <w:color w:val="000000"/>
        </w:rPr>
        <w:t xml:space="preserve"> J demanding that the consent judgment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 set aside. The alleged grounds for setting aside the consent judgment were that the sum specified in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consent judgment contained a very substantial sum by way of penal interest, that no accounts were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taken before the said consent judgment was recorded and that, therefore, the Respondents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misapprehended the facts or were in ignorance of those facts, that there were certain alleged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misrepresentation(s) by the Appellant and so on and so forth.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listened to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Sehmi</w:t>
      </w:r>
      <w:proofErr w:type="spellEnd"/>
      <w:r>
        <w:rPr>
          <w:rFonts w:ascii="Times New Roman" w:hAnsi="Times New Roman" w:cs="Times New Roman"/>
          <w:color w:val="000000"/>
        </w:rPr>
        <w:t xml:space="preserve"> argue these points and all I could get was that the consent judgment itself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contained a false statement that accounts had been taken when none had in fact been taken, that there was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some misrepresentation on the side of the Appellant, but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Sehmi</w:t>
      </w:r>
      <w:proofErr w:type="spellEnd"/>
      <w:r>
        <w:rPr>
          <w:rFonts w:ascii="Times New Roman" w:hAnsi="Times New Roman" w:cs="Times New Roman"/>
          <w:color w:val="000000"/>
        </w:rPr>
        <w:t xml:space="preserve"> would not say exactly who made the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misrepresentation and to whom it was made. It is clear from the authorities with which I started this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that the burden on a party who alleges that there was in fact no consent or that the consent was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invalid, is a heavy burden, and for my part I am at a loss to understand how it came to be that the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experienced counsel, </w:t>
      </w:r>
      <w:proofErr w:type="spellStart"/>
      <w:r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Sheth</w:t>
      </w:r>
      <w:proofErr w:type="spellEnd"/>
      <w:r>
        <w:rPr>
          <w:rFonts w:ascii="Times New Roman" w:hAnsi="Times New Roman" w:cs="Times New Roman"/>
          <w:color w:val="000000"/>
        </w:rPr>
        <w:t>, who signed the consent on behalf of the Respondents could have agreed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the statement in paragraph one of the consent that accounts had been taken when none had been taken.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Add to that the </w:t>
      </w:r>
      <w:r>
        <w:rPr>
          <w:rFonts w:ascii="Times New Roman" w:hAnsi="Times New Roman" w:cs="Times New Roman"/>
          <w:color w:val="000000"/>
        </w:rPr>
        <w:lastRenderedPageBreak/>
        <w:t>fact that the Respondents came to know of the judgment almost immediately and yet they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come to court until some five months later and that at the time when the grace period was due to run out,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it becomes clear beyond any reasonable doubt that the consent judgment ought not to have been set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aside. The Respondents’ advocates had ostensible authority to reach a compromise on their behalf. The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advocates did so and it is to be noted the advocates have not complained that they were cheated or misled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over anything. The Respondents came to know of the consent immediately and if it was true that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accounts had not been taken contrary to what was specifically stated in paragraph one of the consent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judgment, one would expect them to have immediately challenged the judgment instead of waiting until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two days before the date when they would be required to meet their part of the bargain. For my part, I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no doubt that the Respondents, by their motion brought to court on 4 October 2000 were merely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trying to avoid the evil day and the Learned Judge of the High Court ought to have dismissed that motion.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agree with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JA whose judgment I had the privilege to read in draft form, that this appeal must be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allowed.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 would accordingly allow the appeal, set aside the ruling and orders of the High Court dated 24 July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2002 and substitute them with an order dismissing with costs the Respondents’ amended notice of motion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dated 19 September 2001. I would also award the costs of this appeal to the Appellant.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JA agrees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those shall be the orders of this Court. I only need to add that this judgment is delivered pursuant to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provisions of rule 32(3) of the Court’s Rules, one member of the Court having ceased to hold office.</w:t>
      </w:r>
      <w:r w:rsidR="001E7494">
        <w:rPr>
          <w:rFonts w:ascii="Times New Roman" w:hAnsi="Times New Roman" w:cs="Times New Roman"/>
          <w:color w:val="000000"/>
        </w:rPr>
        <w:t xml:space="preserve"> </w:t>
      </w:r>
    </w:p>
    <w:p w:rsidR="001E7494" w:rsidRDefault="001E7494" w:rsidP="001E74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1E7494" w:rsidRDefault="00421563" w:rsidP="001E74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Githinji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This is an appeal from the ruling and order of the superior court (</w:t>
      </w:r>
      <w:proofErr w:type="spellStart"/>
      <w:r>
        <w:rPr>
          <w:rFonts w:ascii="Times New Roman" w:hAnsi="Times New Roman" w:cs="Times New Roman"/>
          <w:color w:val="000000"/>
        </w:rPr>
        <w:t>Rimita</w:t>
      </w:r>
      <w:proofErr w:type="spellEnd"/>
      <w:r>
        <w:rPr>
          <w:rFonts w:ascii="Times New Roman" w:hAnsi="Times New Roman" w:cs="Times New Roman"/>
          <w:color w:val="000000"/>
        </w:rPr>
        <w:t xml:space="preserve"> J) given on 24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July 2002 in which the court set aside a consent judgment and decree given on 16 May 2000.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is the convenient stage to set out the relevant circumstances under which the consent judgment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entered and subsequently set aside.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six Respondents in this appeal filed a suit against the Appellant (hereinafter referred to as “the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bank”) in the superior court on 2 May 2000. The plaintiffs aver in the plaint,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the bank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granted a loan in the aggregate sum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100 000 000 to the First Respondent in 1995 and 1997; that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loan was secured by two debentures and two charges over land registration number Block 8/21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  <w:r>
        <w:rPr>
          <w:rFonts w:ascii="Times New Roman" w:hAnsi="Times New Roman" w:cs="Times New Roman"/>
          <w:color w:val="000000"/>
        </w:rPr>
        <w:t xml:space="preserve"> owned by Second Respondent and further secured by personal guarantees executed by Third,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Fourth, Fifth and Sixth Respondents; that the First Plaintiff ceased operations and closed the factory in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1999 as a result of a government ban on harvesting of timber; that subsequently the First Plaintiff and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entered into negotiations in which Defendant agreed to suspend repayment of the balance of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loan until the supply of raw material to First Plaintiff was resumed; that in breach of the agreement,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Defendant has “recalled” the loan and has threatened to </w:t>
      </w:r>
      <w:proofErr w:type="spellStart"/>
      <w:r>
        <w:rPr>
          <w:rFonts w:ascii="Times New Roman" w:hAnsi="Times New Roman" w:cs="Times New Roman"/>
          <w:color w:val="000000"/>
        </w:rPr>
        <w:t>realise</w:t>
      </w:r>
      <w:proofErr w:type="spellEnd"/>
      <w:r>
        <w:rPr>
          <w:rFonts w:ascii="Times New Roman" w:hAnsi="Times New Roman" w:cs="Times New Roman"/>
          <w:color w:val="000000"/>
        </w:rPr>
        <w:t xml:space="preserve"> the debentures, the charges and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personal guarantees on alleged balance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114 000 000 while First Plaintiff has already paid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114 000 000; that the Respondent has, in contravention of the terms of the debentures, charged excessive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rate of interest penalties and bank charges and has unlawfully compounded them which if removed,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would drastically reduce the charged balance of </w:t>
      </w:r>
      <w:proofErr w:type="spellStart"/>
      <w:r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114 000 000; and that the debentures which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 had threatened to enforce have no force of law and are null and void </w:t>
      </w:r>
      <w:r>
        <w:rPr>
          <w:rFonts w:ascii="Times New Roman" w:hAnsi="Times New Roman" w:cs="Times New Roman"/>
          <w:i/>
          <w:iCs/>
          <w:color w:val="000000"/>
        </w:rPr>
        <w:t>ab initio</w:t>
      </w:r>
      <w:r>
        <w:rPr>
          <w:rFonts w:ascii="Times New Roman" w:hAnsi="Times New Roman" w:cs="Times New Roman"/>
          <w:color w:val="000000"/>
        </w:rPr>
        <w:t>. The relief</w:t>
      </w:r>
      <w:r w:rsidR="001E749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sought in the plaint was:</w:t>
      </w:r>
    </w:p>
    <w:p w:rsidR="00421563" w:rsidRDefault="001E7494" w:rsidP="001E749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“(a) </w:t>
      </w:r>
      <w:proofErr w:type="gramStart"/>
      <w:r w:rsidR="00421563"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order that proper account be taken to determine the amount if any lawfully and legitimately due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from first plaintiff to defendant.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(b) If any amount is found to be due from first plaintiff to the defendant judgment be entered for such an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amount in favour of defendant with a proviso that payment thereof be postponed and/or made 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instalments in the terms to be set out by this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court.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(c) In the interim the defendant by itself and/or its agents/servants be restrained in any manner including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by way of appointment of receiver/manager against the plaintiffs or any of them from enforcing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recovery of any money allegedly due under any security documents until the determination of this suit.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(d) General damages for breach of contract.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(e) Costs.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(</w:t>
      </w:r>
      <w:proofErr w:type="gramStart"/>
      <w:r w:rsidR="00421563">
        <w:rPr>
          <w:rFonts w:ascii="Times New Roman" w:hAnsi="Times New Roman" w:cs="Times New Roman"/>
          <w:color w:val="000000"/>
          <w:sz w:val="20"/>
          <w:szCs w:val="20"/>
        </w:rPr>
        <w:t>f )</w:t>
      </w:r>
      <w:proofErr w:type="gram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value added tax on the costs.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(g) Such other or further relief as this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Honourable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Court may deem fit”.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plaintiff filed an application for interlocutory injunction on the same date they filed the suit seeking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an order to restrain the bank from enforcing any recovery of any sum under the security documents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including appointment of receiver/manager until the final determination of the suit. The application was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supported by a short affidavit of </w:t>
      </w:r>
      <w:proofErr w:type="spellStart"/>
      <w:r w:rsidR="00421563">
        <w:rPr>
          <w:rFonts w:ascii="Times New Roman" w:hAnsi="Times New Roman" w:cs="Times New Roman"/>
          <w:color w:val="000000"/>
        </w:rPr>
        <w:t>Narwar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Singh </w:t>
      </w:r>
      <w:proofErr w:type="spellStart"/>
      <w:r w:rsidR="00421563">
        <w:rPr>
          <w:rFonts w:ascii="Times New Roman" w:hAnsi="Times New Roman" w:cs="Times New Roman"/>
          <w:color w:val="000000"/>
        </w:rPr>
        <w:t>Bhogal</w:t>
      </w:r>
      <w:proofErr w:type="spellEnd"/>
      <w:r w:rsidR="00421563">
        <w:rPr>
          <w:rFonts w:ascii="Times New Roman" w:hAnsi="Times New Roman" w:cs="Times New Roman"/>
          <w:color w:val="000000"/>
        </w:rPr>
        <w:t>, managing director of First Plaintiff in which 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repeated the contents of the plaint and stated that First Defendant had by a letter dated 2 May 2000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suddenly threatened to unlawfully recover the security documents. The application for interlocutory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injunction was listed for hearing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421563">
        <w:rPr>
          <w:rFonts w:ascii="Times New Roman" w:hAnsi="Times New Roman" w:cs="Times New Roman"/>
          <w:color w:val="000000"/>
        </w:rPr>
        <w:t xml:space="preserve">in the first instance before </w:t>
      </w:r>
      <w:proofErr w:type="spellStart"/>
      <w:r w:rsidR="00421563">
        <w:rPr>
          <w:rFonts w:ascii="Times New Roman" w:hAnsi="Times New Roman" w:cs="Times New Roman"/>
          <w:color w:val="000000"/>
        </w:rPr>
        <w:t>Rimita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J on 2 May 2000. An </w:t>
      </w:r>
      <w:r w:rsidR="00421563">
        <w:rPr>
          <w:rFonts w:ascii="Times New Roman" w:hAnsi="Times New Roman" w:cs="Times New Roman"/>
          <w:i/>
          <w:iCs/>
          <w:color w:val="000000"/>
        </w:rPr>
        <w:t>ex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parte </w:t>
      </w:r>
      <w:r w:rsidR="00421563">
        <w:rPr>
          <w:rFonts w:ascii="Times New Roman" w:hAnsi="Times New Roman" w:cs="Times New Roman"/>
          <w:color w:val="000000"/>
        </w:rPr>
        <w:t xml:space="preserve">order of injunction was given against the Defendant on 2 May 2000 and the application fixed </w:t>
      </w:r>
      <w:r w:rsidR="00421563">
        <w:rPr>
          <w:rFonts w:ascii="Times New Roman" w:hAnsi="Times New Roman" w:cs="Times New Roman"/>
          <w:color w:val="000000"/>
        </w:rPr>
        <w:lastRenderedPageBreak/>
        <w:t>for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hearing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inter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partes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on 16 May 2000.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Defendant upon service of the application filed grounds of opposition and a long replying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affidavit supported by documents sworn by </w:t>
      </w:r>
      <w:proofErr w:type="spellStart"/>
      <w:r w:rsidR="00421563">
        <w:rPr>
          <w:rFonts w:ascii="Times New Roman" w:hAnsi="Times New Roman" w:cs="Times New Roman"/>
          <w:color w:val="000000"/>
        </w:rPr>
        <w:t>Mrs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Nasim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Devji</w:t>
      </w:r>
      <w:proofErr w:type="spellEnd"/>
      <w:r w:rsidR="00421563">
        <w:rPr>
          <w:rFonts w:ascii="Times New Roman" w:hAnsi="Times New Roman" w:cs="Times New Roman"/>
          <w:color w:val="000000"/>
        </w:rPr>
        <w:t>, general manager of the Defendant.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Mrs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Nasim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Devji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discloses in the affidavit that the First Defendant has defaulted in the repayment of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loan since mid-1998 and had by a letter dated 15 September 1998 sought a review of the repayment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terms which review was granted but Plaintiff failed to adhere to the agreed terms. The replying affidavit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further discloses that thereafter the Plaintiff sought the consolidation of the two loans and a rescheduling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of the repayments. The Defendant agreed to that request. An agreement was executed on 1 March 2000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by which the parties agreed, </w:t>
      </w:r>
      <w:r w:rsidR="00421563">
        <w:rPr>
          <w:rFonts w:ascii="Times New Roman" w:hAnsi="Times New Roman" w:cs="Times New Roman"/>
          <w:i/>
          <w:iCs/>
          <w:color w:val="000000"/>
        </w:rPr>
        <w:t>inter alia</w:t>
      </w:r>
      <w:r w:rsidR="00421563">
        <w:rPr>
          <w:rFonts w:ascii="Times New Roman" w:hAnsi="Times New Roman" w:cs="Times New Roman"/>
          <w:color w:val="000000"/>
        </w:rPr>
        <w:t>, that the total sum due to the bank after the consolidation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accounts as at 31 May 1999 was </w:t>
      </w:r>
      <w:proofErr w:type="spellStart"/>
      <w:r w:rsidR="00421563">
        <w:rPr>
          <w:rFonts w:ascii="Times New Roman" w:hAnsi="Times New Roman" w:cs="Times New Roman"/>
          <w:color w:val="00000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104 373 414,85. Similarly, a deed of guarantee and indemnity was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executed on 1 March 2000 by Third and Fourth Plaintiffs in favour of the bank in which it was agreed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that the maximum liability of the guarantors was </w:t>
      </w:r>
      <w:proofErr w:type="spellStart"/>
      <w:r w:rsidR="00421563">
        <w:rPr>
          <w:rFonts w:ascii="Times New Roman" w:hAnsi="Times New Roman" w:cs="Times New Roman"/>
          <w:color w:val="00000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104 373 414,85 plus interest and other costs,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charges and expenses.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On 16 May 2000 when the application for interlocutory injunction was scheduled to be heard,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Sheth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, learned counsel for Respondents and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Madhani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for the Appellant, appeared before </w:t>
      </w:r>
      <w:proofErr w:type="spellStart"/>
      <w:r w:rsidR="00421563">
        <w:rPr>
          <w:rFonts w:ascii="Times New Roman" w:hAnsi="Times New Roman" w:cs="Times New Roman"/>
          <w:color w:val="000000"/>
        </w:rPr>
        <w:t>Rimita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J and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recorded a consent judgment in terms of the consent letter dated 16 May 2000. That consent letter is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addressed to the Deputy Registrar of the High Court and states in the relevant part: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“We have the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honour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to request that by consent the following orders be recorded herein: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1.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parties having taken accounts, it is hereby agreed and admitted by plaintiffs that the sum due by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them to the defendant as at 2 May 2000 is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106 625 065</w:t>
      </w:r>
      <w:proofErr w:type="gramStart"/>
      <w:r w:rsidR="00421563">
        <w:rPr>
          <w:rFonts w:ascii="Times New Roman" w:hAnsi="Times New Roman" w:cs="Times New Roman"/>
          <w:color w:val="000000"/>
          <w:sz w:val="20"/>
          <w:szCs w:val="20"/>
        </w:rPr>
        <w:t>,18</w:t>
      </w:r>
      <w:proofErr w:type="gram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(Kenya Shillings one hundred and six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million, six hundred and twenty five thousand and sixty five and cents eighteen).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2. I t is hereby agreed by the plaintiffs that the said sum of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106 625 065</w:t>
      </w:r>
      <w:proofErr w:type="gramStart"/>
      <w:r w:rsidR="00421563">
        <w:rPr>
          <w:rFonts w:ascii="Times New Roman" w:hAnsi="Times New Roman" w:cs="Times New Roman"/>
          <w:color w:val="000000"/>
          <w:sz w:val="20"/>
          <w:szCs w:val="20"/>
        </w:rPr>
        <w:t>,18</w:t>
      </w:r>
      <w:proofErr w:type="gram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(Kenya Shillings one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hundred and six million, six hundred and twenty five thousand and sixty five and cents eighteen) shall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accrue interest at the defendants bank’s base rate (from time to time) plus 4% per annum from 3 May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2000 until payment in full.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plaintiff hereby acknowledges that the said sum of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106 625 065</w:t>
      </w:r>
      <w:proofErr w:type="gramStart"/>
      <w:r w:rsidR="00421563">
        <w:rPr>
          <w:rFonts w:ascii="Times New Roman" w:hAnsi="Times New Roman" w:cs="Times New Roman"/>
          <w:color w:val="000000"/>
          <w:sz w:val="20"/>
          <w:szCs w:val="20"/>
        </w:rPr>
        <w:t>,18</w:t>
      </w:r>
      <w:proofErr w:type="gram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(Kenya Shillings one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hundred and six million, six hundred and twenty five thousand and sixty five and cents eighteen)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together with interest as aforesaid shall become due and payable on the 5 October 2000;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4.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Respondent, whether by itself its agents and/or servants be and is hereby restrained from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appointing a receiver/manager or disposing of the properties secured by the debentures and charges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issued and/or granted by the first and second plaintiffs in favour of the defendant or enforcing its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personal guarantees of all of the plaintiffs granted in favour of the defendant until 5 October 2000, but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without prejudice to the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defendants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rights to inspect the plant machinery land and buildings secured by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the defendants and charges (on giving reasonable motive and to issue any motives thereunder.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5. U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nless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the amount as aforesaid (clause 1 and 2) is paid in full on the 6 October 2000 the injunction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referred to in 4 above shall stand discharged and vacated and the defendant shall be at liberty to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exercise all its powers under the said debentures, charges including but not limited to appointment of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receivers and managers and disposal of the plaint, machinery land and buildings whether by public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auction or private treaty.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6. C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osts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to the defendant to be agreed or in default to be taxed.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7.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T his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suit and all issues between the parties hereto be marked as settled on the terms enumerated herein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above</w:t>
      </w:r>
      <w:r w:rsidR="00421563">
        <w:rPr>
          <w:rFonts w:ascii="Times New Roman" w:hAnsi="Times New Roman" w:cs="Times New Roman"/>
          <w:i/>
          <w:iCs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Signed.............................................. Signed....................................................................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Sheth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Wathigo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Mohamed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Madhani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and Co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Advocates for Plaintiffs Advocates for the Defendant”.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On 4 October 2000, a day before the judgment sum was due and payable Respondents filed an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application under Order XLIV, rule 1 of the Civil Procedure Rules seeking an order that the consent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judgment entered on 16 May 2000 be reviewed and/or set aside. The Respondents also sought an order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for extension of injunction until the determination of the application. The application for review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consent judgment was mainly based on the ground that the consent judgment was recorded on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misrepresentation that the accounts had been taken which was not the case.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The application was again listed before </w:t>
      </w:r>
      <w:proofErr w:type="spellStart"/>
      <w:r w:rsidR="00421563">
        <w:rPr>
          <w:rFonts w:ascii="Times New Roman" w:hAnsi="Times New Roman" w:cs="Times New Roman"/>
          <w:color w:val="000000"/>
        </w:rPr>
        <w:t>Rimita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J for hearing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ex parte </w:t>
      </w:r>
      <w:r w:rsidR="00421563">
        <w:rPr>
          <w:rFonts w:ascii="Times New Roman" w:hAnsi="Times New Roman" w:cs="Times New Roman"/>
          <w:color w:val="000000"/>
        </w:rPr>
        <w:t>in the first instance on the same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day and interim orders granted. On 27 November 2000, it was ordered that: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“</w:t>
      </w:r>
      <w:proofErr w:type="gramStart"/>
      <w:r w:rsidR="00421563">
        <w:rPr>
          <w:rFonts w:ascii="Times New Roman" w:hAnsi="Times New Roman" w:cs="Times New Roman"/>
          <w:color w:val="000000"/>
          <w:sz w:val="20"/>
          <w:szCs w:val="20"/>
        </w:rPr>
        <w:t>1. …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interim orders are extended and </w:t>
      </w:r>
      <w:r w:rsidR="0042156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status quo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be maintained until final disposal of the plaintiffs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application dated 4 October 2000.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3.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T he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defendant be at liberty to file and serve upon all plaintiffs a replying affidavit 30 days prior to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hearing date.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4. … 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application was fixed for hearing for 23 March 2001 but it was not heard until 30 April 2001. In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meantime, the bank filed a replying affidavit sworn by </w:t>
      </w:r>
      <w:proofErr w:type="spellStart"/>
      <w:r w:rsidR="00421563">
        <w:rPr>
          <w:rFonts w:ascii="Times New Roman" w:hAnsi="Times New Roman" w:cs="Times New Roman"/>
          <w:color w:val="000000"/>
        </w:rPr>
        <w:t>Mrs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Nasim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Devji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on 19 March 2001 in which she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disclosed that on 11 December 2000 during the pendency of the application for review, the Respondents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paid to the bank </w:t>
      </w:r>
      <w:proofErr w:type="spellStart"/>
      <w:r w:rsidR="00421563">
        <w:rPr>
          <w:rFonts w:ascii="Times New Roman" w:hAnsi="Times New Roman" w:cs="Times New Roman"/>
          <w:color w:val="00000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121 482 658,40 being the full amount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outstanding and due to the bank. She also disclosed that following the payment to the bank the bank has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since discharged all the securities that had been given to it by the applicants. That notwithstanding,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Rimita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J allowed the application on 24 July 2002, set aside the consent judgment and ordered parties to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draw issues and fix suit for hearing.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Before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Sehmi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for the Respondents concluded his submissions in support of the application for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review, he stated that the affidavit of </w:t>
      </w:r>
      <w:proofErr w:type="spellStart"/>
      <w:r w:rsidR="00421563">
        <w:rPr>
          <w:rFonts w:ascii="Times New Roman" w:hAnsi="Times New Roman" w:cs="Times New Roman"/>
          <w:color w:val="000000"/>
        </w:rPr>
        <w:t>Mrs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Nasim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Devji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filed </w:t>
      </w:r>
      <w:r w:rsidR="00421563">
        <w:rPr>
          <w:rFonts w:ascii="Times New Roman" w:hAnsi="Times New Roman" w:cs="Times New Roman"/>
          <w:color w:val="000000"/>
        </w:rPr>
        <w:lastRenderedPageBreak/>
        <w:t>on 19 March 2001 in reply to the application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for review was irregular and irregularly filed because it was filed four days before the hearing date in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contravention of the order of 27 November 2000 that it be filed 30 days before the hearing date. 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however, reminded court that it had power to enlarge time and left the issue to the discretion of the court.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Sheth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for the bank, however, urged the court to extend time for the filing of the affidavit as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affidavit was filed before the hearing of the application and no prejudice had been caused. On that issue,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Learned Judge held thus: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“I think the Respondent’s counsel should have made an application to have the Respondent’s affidavit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admitted out of time and obtain an order to that effect. It was not good enough nor does it serve any purpose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to have the affidavit admitted out of time. The Respondents’ replying affidavit is not properly on record and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cannot be used as a pleading in the matter before me”.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The bank has appealed against that finding.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Ochieng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Oduol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who argued the appeal on behalf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bank submitted that since the affidavit was filed on 19 March 2001 more than 30 days before the hearing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of the appeal commenced on 30 April 2001, the affidavit was not filed in contravention of the court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order.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By the order that the bank do file the replying affidavit 30 days prior to the hearing, the Learned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Judge in fact reduced the time provided by Order L, rule 16 of the Civil Procedure Rules for filing a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replying affidavit. Order L, rule 16(1) of the Civil Procedure Rules then and now provides that a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respondent who wishes to oppose a motion should file and serve a replying affidavit if any, not less than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three clear days before the date of hearing. The purpose of requiring that the replying affidavit be filed 30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days prior to the hearing date was to give the Respondents sufficient time to study the affidavit.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application was heard more than 30 days after the affidavit was filed and Respondents had not been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prejudiced and did not claim to have been prejudiced.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By the affidavit of 19 March 2000 </w:t>
      </w:r>
      <w:proofErr w:type="spellStart"/>
      <w:r w:rsidR="00421563">
        <w:rPr>
          <w:rFonts w:ascii="Times New Roman" w:hAnsi="Times New Roman" w:cs="Times New Roman"/>
          <w:color w:val="000000"/>
        </w:rPr>
        <w:t>Nasim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Devji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mainly adopted the contents of her long affidavit of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12 May 2000 and it was highly prejudicial to the bank to exclude the affidavit from consideration. In any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case, the Learned Judge had the discretion and inherent jurisdiction to admit the affidavit out of time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even on an oral application if the justice of the case demanded so. I am satisfied that in this, the Learned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Judge misdirected himself in law and made a plainly wrong decision in rejecting the replying affidavit of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Nasim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Devji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and this calls for interference with the Judge’s discretion.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bank opposed the application for review on several grounds including the ground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application was incurably defective, as the affidavit of </w:t>
      </w:r>
      <w:proofErr w:type="spellStart"/>
      <w:r w:rsidR="00421563">
        <w:rPr>
          <w:rFonts w:ascii="Times New Roman" w:hAnsi="Times New Roman" w:cs="Times New Roman"/>
          <w:color w:val="000000"/>
        </w:rPr>
        <w:t>Narwar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Singh </w:t>
      </w:r>
      <w:proofErr w:type="spellStart"/>
      <w:r w:rsidR="00421563">
        <w:rPr>
          <w:rFonts w:ascii="Times New Roman" w:hAnsi="Times New Roman" w:cs="Times New Roman"/>
          <w:color w:val="000000"/>
        </w:rPr>
        <w:t>Bhogal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sworn on 4 October 2000 in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support of the application did not show the place where the oath was taken contrary to section 5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Oaths and Statutory Declarations Act (Chapter 15). There is a rubber stamp of the Commissioner of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Oaths on the affidavit showing that the address of the Commissioner of Oaths is PO Box 16000 </w:t>
      </w:r>
      <w:proofErr w:type="spellStart"/>
      <w:r w:rsidR="00421563">
        <w:rPr>
          <w:rFonts w:ascii="Times New Roman" w:hAnsi="Times New Roman" w:cs="Times New Roman"/>
          <w:color w:val="000000"/>
        </w:rPr>
        <w:t>Nakuru</w:t>
      </w:r>
      <w:proofErr w:type="spellEnd"/>
      <w:r w:rsidR="00421563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Learned Judge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concluded that the rubber stamp showing the postal address of the Commissioner of Oaths was enough to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show the place of swearing and that the irregularity was in form only which is curable under Order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XVIII, rule 7 of the Civil Procedure Rules. That rule </w:t>
      </w:r>
      <w:proofErr w:type="spellStart"/>
      <w:r w:rsidR="00421563">
        <w:rPr>
          <w:rFonts w:ascii="Times New Roman" w:hAnsi="Times New Roman" w:cs="Times New Roman"/>
          <w:color w:val="000000"/>
        </w:rPr>
        <w:t>authorises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the Court to receive any affidavit for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purposes of being used in a suit notwithstanding any defect by </w:t>
      </w:r>
      <w:proofErr w:type="spellStart"/>
      <w:r w:rsidR="00421563">
        <w:rPr>
          <w:rFonts w:ascii="Times New Roman" w:hAnsi="Times New Roman" w:cs="Times New Roman"/>
          <w:color w:val="000000"/>
        </w:rPr>
        <w:t>misdescription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of the parties or otherwise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in the title or other irregularity in the form.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affidavit was sworn for the purposes of the suit and complied with the provision of Order XVIII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of the Civil Procedure Rules as to content. The affidavit is shown to have been drawn and filed by </w:t>
      </w:r>
      <w:proofErr w:type="spellStart"/>
      <w:r w:rsidR="00421563">
        <w:rPr>
          <w:rFonts w:ascii="Times New Roman" w:hAnsi="Times New Roman" w:cs="Times New Roman"/>
          <w:color w:val="000000"/>
        </w:rPr>
        <w:t>Sheth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="00421563">
        <w:rPr>
          <w:rFonts w:ascii="Times New Roman" w:hAnsi="Times New Roman" w:cs="Times New Roman"/>
          <w:color w:val="000000"/>
        </w:rPr>
        <w:t>Wathigo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Advocates of </w:t>
      </w:r>
      <w:proofErr w:type="spellStart"/>
      <w:r w:rsidR="00421563">
        <w:rPr>
          <w:rFonts w:ascii="Times New Roman" w:hAnsi="Times New Roman" w:cs="Times New Roman"/>
          <w:color w:val="000000"/>
        </w:rPr>
        <w:t>Nakuru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. The deponent has shown his address as PO Box 15903 </w:t>
      </w:r>
      <w:proofErr w:type="spellStart"/>
      <w:r w:rsidR="00421563">
        <w:rPr>
          <w:rFonts w:ascii="Times New Roman" w:hAnsi="Times New Roman" w:cs="Times New Roman"/>
          <w:color w:val="000000"/>
        </w:rPr>
        <w:t>Nakuru</w:t>
      </w:r>
      <w:proofErr w:type="spellEnd"/>
      <w:r w:rsidR="00421563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In the circumstances, there was sufficient evidence to show that the affidavit was sworn in </w:t>
      </w:r>
      <w:proofErr w:type="spellStart"/>
      <w:r w:rsidR="00421563">
        <w:rPr>
          <w:rFonts w:ascii="Times New Roman" w:hAnsi="Times New Roman" w:cs="Times New Roman"/>
          <w:color w:val="000000"/>
        </w:rPr>
        <w:t>Nakuru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as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shown in the rubber stamp of the Commissioner of Oaths. I agree with the Learned Judge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affidavit was not fatally defective and that ground of appeal fails.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main ground of appeal is in effect that the Learned Judge erred in fact and in law in setting aside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consent judgment on the ground of alleged misrepresentation.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letter dated 16 May 2000 which constitutes a compromise was signed by the respective advocates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for the parties who were also present in court when the consent judgment was recorded. The law is that,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so long as a counsel is acting for a party in a case and his instructions have not been terminated, he has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full control over the conduct of the trial and has apparent authority to compromise all matters connected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with the action – see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Shah v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Westlands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GSP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Ltd </w:t>
      </w:r>
      <w:r w:rsidR="00421563">
        <w:rPr>
          <w:rFonts w:ascii="Times New Roman" w:hAnsi="Times New Roman" w:cs="Times New Roman"/>
          <w:color w:val="000000"/>
        </w:rPr>
        <w:t xml:space="preserve">[1965] EA 642;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Wasike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Wamboko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[1982–88] KAR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625;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Karani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and others v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Kijana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and others </w:t>
      </w:r>
      <w:r w:rsidR="00421563">
        <w:rPr>
          <w:rFonts w:ascii="Times New Roman" w:hAnsi="Times New Roman" w:cs="Times New Roman"/>
          <w:color w:val="000000"/>
        </w:rPr>
        <w:t>[1987] KLR 557. The authority of the Respondents’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advocates – </w:t>
      </w:r>
      <w:proofErr w:type="spellStart"/>
      <w:r w:rsidR="00421563">
        <w:rPr>
          <w:rFonts w:ascii="Times New Roman" w:hAnsi="Times New Roman" w:cs="Times New Roman"/>
          <w:color w:val="000000"/>
        </w:rPr>
        <w:t>Sheth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and </w:t>
      </w:r>
      <w:proofErr w:type="spellStart"/>
      <w:r w:rsidR="00421563">
        <w:rPr>
          <w:rFonts w:ascii="Times New Roman" w:hAnsi="Times New Roman" w:cs="Times New Roman"/>
          <w:color w:val="000000"/>
        </w:rPr>
        <w:t>Wathigo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Advocates – to compromise the suit is not challenged by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Respondents.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Rajnikant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Sheth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does not in his affidavit sworn in 4 October 2000 in support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application for review say that he did not have authority from the Respondents to compromise the suit.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Similarly,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Narwar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Singh </w:t>
      </w:r>
      <w:proofErr w:type="spellStart"/>
      <w:r w:rsidR="00421563">
        <w:rPr>
          <w:rFonts w:ascii="Times New Roman" w:hAnsi="Times New Roman" w:cs="Times New Roman"/>
          <w:color w:val="000000"/>
        </w:rPr>
        <w:t>Bhogal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(Third Respondent) did not in his affidavit sworn on 4 October 2000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to support the application for review say that the Respondents had </w:t>
      </w:r>
      <w:r w:rsidR="00421563">
        <w:rPr>
          <w:rFonts w:ascii="Times New Roman" w:hAnsi="Times New Roman" w:cs="Times New Roman"/>
          <w:color w:val="000000"/>
        </w:rPr>
        <w:lastRenderedPageBreak/>
        <w:t>not given their advocates instructions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to compromise the suit.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The compromise of a disputed claim made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bona fide </w:t>
      </w:r>
      <w:r w:rsidR="00421563">
        <w:rPr>
          <w:rFonts w:ascii="Times New Roman" w:hAnsi="Times New Roman" w:cs="Times New Roman"/>
          <w:color w:val="000000"/>
        </w:rPr>
        <w:t>is a good consideration and the Court cannot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interfere with it except in the circumstances which would afford a good ground for varying or rescinding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a contract between parties –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Hiram v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[1952] 19 EACA 131. That case has been followed in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subsequent cases by the Court of Appeal – see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Brooke Bond Liebig (T) Ltd v </w:t>
      </w:r>
      <w:proofErr w:type="spellStart"/>
      <w:proofErr w:type="gramStart"/>
      <w:r w:rsidR="00421563">
        <w:rPr>
          <w:rFonts w:ascii="Times New Roman" w:hAnsi="Times New Roman" w:cs="Times New Roman"/>
          <w:i/>
          <w:iCs/>
          <w:color w:val="000000"/>
        </w:rPr>
        <w:t>Mally</w:t>
      </w:r>
      <w:proofErr w:type="spellEnd"/>
      <w:proofErr w:type="gram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[1975] EA 266;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Wasike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Wamboko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(</w:t>
      </w:r>
      <w:r w:rsidR="00421563">
        <w:rPr>
          <w:rFonts w:ascii="Times New Roman" w:hAnsi="Times New Roman" w:cs="Times New Roman"/>
          <w:i/>
          <w:iCs/>
          <w:color w:val="000000"/>
        </w:rPr>
        <w:t>supra</w:t>
      </w:r>
      <w:r w:rsidR="00421563">
        <w:rPr>
          <w:rFonts w:ascii="Times New Roman" w:hAnsi="Times New Roman" w:cs="Times New Roman"/>
          <w:color w:val="000000"/>
        </w:rPr>
        <w:t xml:space="preserve">). In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Wasike</w:t>
      </w:r>
      <w:r w:rsidR="00421563">
        <w:rPr>
          <w:rFonts w:ascii="Times New Roman" w:hAnsi="Times New Roman" w:cs="Times New Roman"/>
          <w:color w:val="000000"/>
        </w:rPr>
        <w:t>’s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case (</w:t>
      </w:r>
      <w:r w:rsidR="00421563">
        <w:rPr>
          <w:rFonts w:ascii="Times New Roman" w:hAnsi="Times New Roman" w:cs="Times New Roman"/>
          <w:i/>
          <w:iCs/>
          <w:color w:val="000000"/>
        </w:rPr>
        <w:t>supra</w:t>
      </w:r>
      <w:r w:rsidR="00421563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="00421563">
        <w:rPr>
          <w:rFonts w:ascii="Times New Roman" w:hAnsi="Times New Roman" w:cs="Times New Roman"/>
          <w:color w:val="000000"/>
        </w:rPr>
        <w:t>Hancox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JA stated the law very succinctly at 626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thus: “It is now settled law that a consent judgment or order has contractual effect and can only be set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aside on the grounds which would justify setting a contract aside”.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legal consequences of recording a compromise under Order XXIV, rule 6 of the Civil Procedure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Rules as </w:t>
      </w:r>
      <w:proofErr w:type="spellStart"/>
      <w:r w:rsidR="00421563">
        <w:rPr>
          <w:rFonts w:ascii="Times New Roman" w:hAnsi="Times New Roman" w:cs="Times New Roman"/>
          <w:color w:val="000000"/>
        </w:rPr>
        <w:t>Rimita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J did on 16 May 2000 is that the decree is passed upon a new contract between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parties superseding that original cause of action –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Hiram v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Kassam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(</w:t>
      </w:r>
      <w:r w:rsidR="00421563">
        <w:rPr>
          <w:rFonts w:ascii="Times New Roman" w:hAnsi="Times New Roman" w:cs="Times New Roman"/>
          <w:i/>
          <w:iCs/>
          <w:color w:val="000000"/>
        </w:rPr>
        <w:t>supra</w:t>
      </w:r>
      <w:r w:rsidR="00421563">
        <w:rPr>
          <w:rFonts w:ascii="Times New Roman" w:hAnsi="Times New Roman" w:cs="Times New Roman"/>
          <w:color w:val="000000"/>
        </w:rPr>
        <w:t>). There is support for that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principle in paragraph 1584 of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Chitty on Contracts </w:t>
      </w:r>
      <w:r w:rsidR="00421563">
        <w:rPr>
          <w:rFonts w:ascii="Times New Roman" w:hAnsi="Times New Roman" w:cs="Times New Roman"/>
          <w:color w:val="000000"/>
        </w:rPr>
        <w:t xml:space="preserve">(26 </w:t>
      </w:r>
      <w:proofErr w:type="spellStart"/>
      <w:proofErr w:type="gramStart"/>
      <w:r w:rsidR="00421563">
        <w:rPr>
          <w:rFonts w:ascii="Times New Roman" w:hAnsi="Times New Roman" w:cs="Times New Roman"/>
          <w:color w:val="000000"/>
        </w:rPr>
        <w:t>ed</w:t>
      </w:r>
      <w:proofErr w:type="spellEnd"/>
      <w:proofErr w:type="gramEnd"/>
      <w:r w:rsidR="00421563">
        <w:rPr>
          <w:rFonts w:ascii="Times New Roman" w:hAnsi="Times New Roman" w:cs="Times New Roman"/>
          <w:color w:val="000000"/>
        </w:rPr>
        <w:t>) Volume 1 which partly states: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“More often, however, the claimant will agree to accept the other party’s promise of performance in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satisfaction of his claim. The original claim is then discharged from the date of agreement and cannot be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revived. The claimant’s sole remedy, in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event that the other party fails to perform, is by an action for breach of the substituted agreement; and has no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right to resort to the original claim. If he wishes to proceed with the original claim should the other party fail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to perform, an express term should be incorporated in the agreement to that effect”.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Court has jurisdiction to set aside a consent judgment if it is shown to have been based on an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agreement induced by misrepresentation. The representation must be shown to have in fact influenced the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representee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into entering into an agreement.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In this case the Learned Judge made the following finding: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“What happened prior to the entering of the consent judgment no doubt clearly shows that if the minds of the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parties could be probed genuine consent would be found wanting in the consent judgment entered on 16 May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2000.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Rajni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  <w:sz w:val="20"/>
          <w:szCs w:val="20"/>
        </w:rPr>
        <w:t>Sheth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entered into the consent in a mistaken belief that the accounts between the parties were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in order as only interest had been charged as agreed between the parties and no penalties or illegal bank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charges had been levied as stated by the defendant. The defendant had therefore misrepresented the position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of the accounts to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  <w:sz w:val="20"/>
          <w:szCs w:val="20"/>
        </w:rPr>
        <w:t>Rajnikant</w:t>
      </w:r>
      <w:proofErr w:type="spellEnd"/>
      <w:r w:rsidR="004215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  <w:sz w:val="20"/>
          <w:szCs w:val="20"/>
        </w:rPr>
        <w:t>Sheth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advocate, thereby obtaining a consent judgment”.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Rajnikant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Sheth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does not say in his affidavit sworn on 4 October 2000 that the Respondent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misrepresented to him that the accounts had been taken and were correct before he entered into a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compromise. What he states in paragraph 4 of that affidavit is that he has been informed by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Narwar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Singh </w:t>
      </w:r>
      <w:proofErr w:type="spellStart"/>
      <w:r w:rsidR="00421563">
        <w:rPr>
          <w:rFonts w:ascii="Times New Roman" w:hAnsi="Times New Roman" w:cs="Times New Roman"/>
          <w:color w:val="000000"/>
        </w:rPr>
        <w:t>Bhogal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that Plaintiffs did not take accounts prior to recording the consent order and solely relied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on the amount in the affidavit of </w:t>
      </w:r>
      <w:proofErr w:type="spellStart"/>
      <w:r w:rsidR="00421563">
        <w:rPr>
          <w:rFonts w:ascii="Times New Roman" w:hAnsi="Times New Roman" w:cs="Times New Roman"/>
          <w:color w:val="000000"/>
        </w:rPr>
        <w:t>Nasim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Devji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Narwar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Singh </w:t>
      </w:r>
      <w:proofErr w:type="spellStart"/>
      <w:r w:rsidR="00421563">
        <w:rPr>
          <w:rFonts w:ascii="Times New Roman" w:hAnsi="Times New Roman" w:cs="Times New Roman"/>
          <w:color w:val="000000"/>
        </w:rPr>
        <w:t>Bhogal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depones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in paragraph 26 of his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affidavit sworn on 4 October 2000 that the accounts had not been taken prior to recording of the consent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judgment and that the statement in the consent letter that the accounts had been taken was a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misrepresentation to court. So, neither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Rajnikant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Sheth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nor </w:t>
      </w:r>
      <w:proofErr w:type="spellStart"/>
      <w:r w:rsidR="00421563">
        <w:rPr>
          <w:rFonts w:ascii="Times New Roman" w:hAnsi="Times New Roman" w:cs="Times New Roman"/>
          <w:color w:val="000000"/>
        </w:rPr>
        <w:t>Mr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Narwar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Singh </w:t>
      </w:r>
      <w:proofErr w:type="spellStart"/>
      <w:r w:rsidR="00421563">
        <w:rPr>
          <w:rFonts w:ascii="Times New Roman" w:hAnsi="Times New Roman" w:cs="Times New Roman"/>
          <w:color w:val="000000"/>
        </w:rPr>
        <w:t>Bhogal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claims that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Respondents had misrepresented to him that the accounts had been taken. The Respondents’ advocates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knew that the main prayer in the plaint is for accounts to verify the amounts that the First Respondent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owed to the bank. It is, therefore, incredible that they could have prepared and signed the letter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evidencing the compromise if they had not already ascertained the exact amount due. The Respondents’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advocates knew that accounts had not been taken but nevertheless agreed on </w:t>
      </w:r>
      <w:proofErr w:type="spellStart"/>
      <w:r w:rsidR="00421563">
        <w:rPr>
          <w:rFonts w:ascii="Times New Roman" w:hAnsi="Times New Roman" w:cs="Times New Roman"/>
          <w:color w:val="00000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106 625 065</w:t>
      </w:r>
      <w:proofErr w:type="gramStart"/>
      <w:r w:rsidR="00421563">
        <w:rPr>
          <w:rFonts w:ascii="Times New Roman" w:hAnsi="Times New Roman" w:cs="Times New Roman"/>
          <w:color w:val="000000"/>
        </w:rPr>
        <w:t>,18</w:t>
      </w:r>
      <w:proofErr w:type="gramEnd"/>
      <w:r w:rsidR="00421563">
        <w:rPr>
          <w:rFonts w:ascii="Times New Roman" w:hAnsi="Times New Roman" w:cs="Times New Roman"/>
          <w:color w:val="000000"/>
        </w:rPr>
        <w:t xml:space="preserve"> as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amount owing and prepared a consent letter to that effect. There is nothing surprising about the figure of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106 625 065,18 in the consent letter because on 1 March 2000, less than three months before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consent letter was signed, Respondents had signed a rescheduling agreement and guarantee and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indemnity in which they agreed that they owed the bank </w:t>
      </w:r>
      <w:proofErr w:type="spellStart"/>
      <w:r w:rsidR="00421563">
        <w:rPr>
          <w:rFonts w:ascii="Times New Roman" w:hAnsi="Times New Roman" w:cs="Times New Roman"/>
          <w:color w:val="00000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104 373 414,85 as at 31 May 1999.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Admittedly, the Respondents were in possession of the latest bank statement annexed to </w:t>
      </w:r>
      <w:proofErr w:type="spellStart"/>
      <w:r w:rsidR="00421563">
        <w:rPr>
          <w:rFonts w:ascii="Times New Roman" w:hAnsi="Times New Roman" w:cs="Times New Roman"/>
          <w:color w:val="000000"/>
        </w:rPr>
        <w:t>Nasim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Devji’s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affidavit sworn on 12 May 2003 showing that Respondents owed the bank </w:t>
      </w:r>
      <w:proofErr w:type="spellStart"/>
      <w:r w:rsidR="00421563">
        <w:rPr>
          <w:rFonts w:ascii="Times New Roman" w:hAnsi="Times New Roman" w:cs="Times New Roman"/>
          <w:color w:val="00000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106 625 065,18 as at 2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May 2000 and how the sum had been computed. The sum agreed upon is definitely less than the </w:t>
      </w:r>
      <w:proofErr w:type="spellStart"/>
      <w:r w:rsidR="00421563">
        <w:rPr>
          <w:rFonts w:ascii="Times New Roman" w:hAnsi="Times New Roman" w:cs="Times New Roman"/>
          <w:color w:val="000000"/>
        </w:rPr>
        <w:t>KShs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114 000 000 referred to in the plaint as the amount that the bank was claiming.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Lastly, although the Respondents averred in the plaint that the bank had in contravention of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debenture charged oppressive and excessive interest, penalty and bank charges, the Respondent did not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even attempt in the subsequent affidavits to show any specific charge in the several bank statements filed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by the bank that is not based on the contract. The Respondents merely made general complaints about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incorrectness of the bank account.</w:t>
      </w:r>
      <w:r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 w:rsidR="00421563">
        <w:rPr>
          <w:rFonts w:ascii="Times New Roman" w:hAnsi="Times New Roman" w:cs="Times New Roman"/>
          <w:color w:val="000000"/>
        </w:rPr>
        <w:t>It follows from the foregoing that there was indeed no misrepresentation made by the bank or any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evidence that the Respondents were induced by any misrepresentation to enter into the compromise.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conduct of the parties since the compromise was recorded is a relevant consideration in an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application to set aside the compromise. Excessive delay in </w:t>
      </w:r>
      <w:r w:rsidR="00421563">
        <w:rPr>
          <w:rFonts w:ascii="Times New Roman" w:hAnsi="Times New Roman" w:cs="Times New Roman"/>
          <w:color w:val="000000"/>
        </w:rPr>
        <w:lastRenderedPageBreak/>
        <w:t>making an application to set aside may be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construed as an affirmation of the compromise depending on the circumstances of each case. In this case,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application to set aside the compromise was made over four-and-a-half months after the consent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judgment was entered and only two days before the bank became entitled to </w:t>
      </w:r>
      <w:proofErr w:type="spellStart"/>
      <w:r w:rsidR="00421563">
        <w:rPr>
          <w:rFonts w:ascii="Times New Roman" w:hAnsi="Times New Roman" w:cs="Times New Roman"/>
          <w:color w:val="000000"/>
        </w:rPr>
        <w:t>realise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the securities. There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is no explanation for this delay. It is apparent that the application to set aside the compromise was made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to facilitate an application to stay the execution of the consent judgment and thereby buy more time.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Further, the Respondents satisfied the consent judgment on 11 December 2000 by paying </w:t>
      </w:r>
      <w:proofErr w:type="spellStart"/>
      <w:r w:rsidR="00421563">
        <w:rPr>
          <w:rFonts w:ascii="Times New Roman" w:hAnsi="Times New Roman" w:cs="Times New Roman"/>
          <w:color w:val="00000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121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482 656</w:t>
      </w:r>
      <w:proofErr w:type="gramStart"/>
      <w:r w:rsidR="00421563">
        <w:rPr>
          <w:rFonts w:ascii="Times New Roman" w:hAnsi="Times New Roman" w:cs="Times New Roman"/>
          <w:color w:val="000000"/>
        </w:rPr>
        <w:t>,40</w:t>
      </w:r>
      <w:proofErr w:type="gramEnd"/>
      <w:r w:rsidR="00421563">
        <w:rPr>
          <w:rFonts w:ascii="Times New Roman" w:hAnsi="Times New Roman" w:cs="Times New Roman"/>
          <w:color w:val="000000"/>
        </w:rPr>
        <w:t xml:space="preserve"> to the bank. As the bank statements annexed to the affidavit of </w:t>
      </w:r>
      <w:proofErr w:type="spellStart"/>
      <w:r w:rsidR="00421563">
        <w:rPr>
          <w:rFonts w:ascii="Times New Roman" w:hAnsi="Times New Roman" w:cs="Times New Roman"/>
          <w:color w:val="000000"/>
        </w:rPr>
        <w:t>Nasim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Devji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sworn on 19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March 2000 show, the figure of </w:t>
      </w:r>
      <w:proofErr w:type="spellStart"/>
      <w:r w:rsidR="00421563">
        <w:rPr>
          <w:rFonts w:ascii="Times New Roman" w:hAnsi="Times New Roman" w:cs="Times New Roman"/>
          <w:color w:val="00000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121 482 656,40 was computed on the basis of the outstanding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balance of </w:t>
      </w:r>
      <w:proofErr w:type="spellStart"/>
      <w:r w:rsidR="00421563">
        <w:rPr>
          <w:rFonts w:ascii="Times New Roman" w:hAnsi="Times New Roman" w:cs="Times New Roman"/>
          <w:color w:val="000000"/>
        </w:rPr>
        <w:t>KShs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106 625 065,18; the amount in the disputed compromise. The Respondents paid this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sum despite the fact that the order of 27 November 2000 staying execution of the consent judgment until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application for review had been determined was still in existence. That conduct amounts to an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affirmation of the contract – see paragraph 474 at 316 of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Chitty on Contracts </w:t>
      </w:r>
      <w:r w:rsidR="00421563">
        <w:rPr>
          <w:rFonts w:ascii="Times New Roman" w:hAnsi="Times New Roman" w:cs="Times New Roman"/>
          <w:color w:val="000000"/>
        </w:rPr>
        <w:t>(</w:t>
      </w:r>
      <w:r w:rsidR="00421563">
        <w:rPr>
          <w:rFonts w:ascii="Times New Roman" w:hAnsi="Times New Roman" w:cs="Times New Roman"/>
          <w:i/>
          <w:iCs/>
          <w:color w:val="000000"/>
        </w:rPr>
        <w:t>supra</w:t>
      </w:r>
      <w:r w:rsidR="00421563">
        <w:rPr>
          <w:rFonts w:ascii="Times New Roman" w:hAnsi="Times New Roman" w:cs="Times New Roman"/>
          <w:color w:val="000000"/>
        </w:rPr>
        <w:t>) which states: “If the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421563">
        <w:rPr>
          <w:rFonts w:ascii="Times New Roman" w:hAnsi="Times New Roman" w:cs="Times New Roman"/>
          <w:color w:val="000000"/>
        </w:rPr>
        <w:t>representee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having discovered the misrepresentation either expressly declares his intention to proceed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with the contract, or does some act inconsistent with an intention to rescind the contract, he is bound by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his affirmation”.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Moreover, where the consent judgment impugned has been executed like in the present case, the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courts are less likely to set aside the consent judgment. In the case of 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Mukisa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 xml:space="preserve"> Limited v West End </w:t>
      </w:r>
      <w:r w:rsidR="00421563">
        <w:rPr>
          <w:rFonts w:ascii="Times New Roman" w:hAnsi="Times New Roman" w:cs="Times New Roman"/>
          <w:color w:val="000000"/>
        </w:rPr>
        <w:t>[1970]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EA 469 at paragraph 472D the Court cited a passage from Lord Denning MR in </w:t>
      </w:r>
      <w:r w:rsidR="00421563">
        <w:rPr>
          <w:rFonts w:ascii="Times New Roman" w:hAnsi="Times New Roman" w:cs="Times New Roman"/>
          <w:i/>
          <w:iCs/>
          <w:color w:val="000000"/>
        </w:rPr>
        <w:t>F and G Sykes (</w:t>
      </w:r>
      <w:proofErr w:type="spellStart"/>
      <w:r w:rsidR="00421563">
        <w:rPr>
          <w:rFonts w:ascii="Times New Roman" w:hAnsi="Times New Roman" w:cs="Times New Roman"/>
          <w:i/>
          <w:iCs/>
          <w:color w:val="000000"/>
        </w:rPr>
        <w:t>Wessex</w:t>
      </w:r>
      <w:proofErr w:type="spellEnd"/>
      <w:r w:rsidR="00421563">
        <w:rPr>
          <w:rFonts w:ascii="Times New Roman" w:hAnsi="Times New Roman" w:cs="Times New Roman"/>
          <w:i/>
          <w:iCs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421563">
        <w:rPr>
          <w:rFonts w:ascii="Times New Roman" w:hAnsi="Times New Roman" w:cs="Times New Roman"/>
          <w:i/>
          <w:iCs/>
          <w:color w:val="000000"/>
        </w:rPr>
        <w:t xml:space="preserve">Ltd v Fine Fare Ltd </w:t>
      </w:r>
      <w:r w:rsidR="00421563">
        <w:rPr>
          <w:rFonts w:ascii="Times New Roman" w:hAnsi="Times New Roman" w:cs="Times New Roman"/>
          <w:color w:val="000000"/>
        </w:rPr>
        <w:t xml:space="preserve">[1967] </w:t>
      </w:r>
      <w:proofErr w:type="spellStart"/>
      <w:r w:rsidR="00421563">
        <w:rPr>
          <w:rFonts w:ascii="Times New Roman" w:hAnsi="Times New Roman" w:cs="Times New Roman"/>
          <w:color w:val="000000"/>
        </w:rPr>
        <w:t>Llyods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Rep 53: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“In a commercial agreement the further the parties have gone on with their contract the more ready the courts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are to imply any reasonable terms so as to give effect to their intention. When much has been done, the courts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will do their best not to destroy a bargain. When nothing has been done, it is easier to say there is no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  <w:sz w:val="20"/>
          <w:szCs w:val="20"/>
        </w:rPr>
        <w:t>agreement between the parties because the essential terms have not been agreed”.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Lastly, I agree with the view of the Appellant’s counsel that the whole suit is exhausted and nothing more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remains to be done. By making the disputed payments which are the subject matter of the suit resulting in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the releasing of securities to the Respondents, the substratum of the suit is gone and it is not possible to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deal with the suit in the present form unless drastic amendments are made.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For the foregoing reasons, I am satisfied that there were no valid grounds for setting aside the consent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judgment and that it is now too late to set aside the consent judgment.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 xml:space="preserve">I would allow the appeal in the terms proposed by </w:t>
      </w:r>
      <w:proofErr w:type="spellStart"/>
      <w:r w:rsidR="00421563">
        <w:rPr>
          <w:rFonts w:ascii="Times New Roman" w:hAnsi="Times New Roman" w:cs="Times New Roman"/>
          <w:color w:val="000000"/>
        </w:rPr>
        <w:t>Omolo</w:t>
      </w:r>
      <w:proofErr w:type="spellEnd"/>
      <w:r w:rsidR="00421563">
        <w:rPr>
          <w:rFonts w:ascii="Times New Roman" w:hAnsi="Times New Roman" w:cs="Times New Roman"/>
          <w:color w:val="000000"/>
        </w:rPr>
        <w:t xml:space="preserve"> JA.</w:t>
      </w:r>
      <w:r>
        <w:rPr>
          <w:rFonts w:ascii="Times New Roman" w:hAnsi="Times New Roman" w:cs="Times New Roman"/>
          <w:color w:val="000000"/>
        </w:rPr>
        <w:t xml:space="preserve"> </w:t>
      </w:r>
      <w:r w:rsidR="00421563">
        <w:rPr>
          <w:rFonts w:ascii="Times New Roman" w:hAnsi="Times New Roman" w:cs="Times New Roman"/>
          <w:color w:val="000000"/>
        </w:rPr>
        <w:t>For the Appellant:</w:t>
      </w:r>
    </w:p>
    <w:p w:rsidR="00421563" w:rsidRDefault="00421563" w:rsidP="00421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MK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Madhani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r>
        <w:rPr>
          <w:rFonts w:ascii="Times New Roman" w:hAnsi="Times New Roman" w:cs="Times New Roman"/>
          <w:i/>
          <w:iCs/>
          <w:color w:val="000000"/>
        </w:rPr>
        <w:t xml:space="preserve">Mohamed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Madhani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Co</w:t>
      </w:r>
    </w:p>
    <w:p w:rsidR="00421563" w:rsidRDefault="00421563" w:rsidP="004215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Respondents:</w:t>
      </w:r>
    </w:p>
    <w:p w:rsidR="0021070D" w:rsidRDefault="00421563" w:rsidP="00421563">
      <w:r>
        <w:rPr>
          <w:rFonts w:ascii="Times New Roman" w:hAnsi="Times New Roman" w:cs="Times New Roman"/>
          <w:i/>
          <w:iCs/>
          <w:color w:val="000000"/>
        </w:rPr>
        <w:t xml:space="preserve">RD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Sheth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instructed by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Sheth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Wathigo</w:t>
      </w:r>
      <w:proofErr w:type="spellEnd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563"/>
    <w:rsid w:val="001E7494"/>
    <w:rsid w:val="0021070D"/>
    <w:rsid w:val="0042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4C4A5-FB4F-4DEA-9F78-FE3ED441B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5362</Words>
  <Characters>30566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2018-07-04T13:38:00Z</dcterms:created>
  <dcterms:modified xsi:type="dcterms:W3CDTF">2018-07-12T09:05:00Z</dcterms:modified>
</cp:coreProperties>
</file>