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E05" w:rsidRDefault="00222E05" w:rsidP="00222E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Diocese of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Nyeri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Kibe</w:t>
      </w:r>
      <w:proofErr w:type="spellEnd"/>
    </w:p>
    <w:p w:rsidR="00222E05" w:rsidRDefault="00222E05" w:rsidP="00222E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222E05" w:rsidRDefault="00222E05" w:rsidP="00222E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26 November 1971</w:t>
      </w:r>
    </w:p>
    <w:p w:rsidR="00222E05" w:rsidRDefault="00222E05" w:rsidP="00222E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1073/1970 (17/74)</w:t>
      </w:r>
    </w:p>
    <w:p w:rsidR="00222E05" w:rsidRDefault="00222E05" w:rsidP="00222E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Madan J</w:t>
      </w:r>
    </w:p>
    <w:p w:rsidR="00222E05" w:rsidRDefault="00222E05" w:rsidP="00222E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222E05" w:rsidRDefault="00222E05" w:rsidP="00222E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Costs – Instruction fee – Double the fee allowed – Whether error of principle.</w:t>
      </w:r>
    </w:p>
    <w:p w:rsidR="00222E05" w:rsidRDefault="00222E05" w:rsidP="00222E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Costs – Witness expenses – Travel from another country – When allowable – Whether special order</w:t>
      </w:r>
    </w:p>
    <w:p w:rsidR="00222E05" w:rsidRDefault="00222E05" w:rsidP="00222E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necessary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222E05" w:rsidRDefault="007A0661" w:rsidP="007A06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222E05" w:rsidRDefault="00222E05" w:rsidP="007A06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Madan J: </w:t>
      </w:r>
      <w:r>
        <w:rPr>
          <w:rFonts w:ascii="Times New Roman" w:hAnsi="Times New Roman" w:cs="Times New Roman"/>
          <w:color w:val="000000"/>
        </w:rPr>
        <w:t>This summons of objection to the taxation of a bill of costs reads as follows:</w:t>
      </w:r>
      <w:r w:rsidR="007A06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“. . . . objection by the defendants above named to the decision of the taxing master in increasing the basic</w:t>
      </w:r>
      <w:r w:rsidR="007A06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instruction fee item 2 beyond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1,000/- and the ‘witness expenses’ allowed to Father John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Marchi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</w:t>
      </w:r>
      <w:r w:rsidR="007A06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bill of costs filed herein by the plaintiff and for an order that it be taxed by another taxing master or be</w:t>
      </w:r>
      <w:r w:rsidR="007A06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reduced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1,000/-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40/- respectively or otherwise suitably. . . .”</w:t>
      </w:r>
      <w:r w:rsidR="007A06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proceedings in the suit arose out of a collision between the plaintiff’s vehicle which at the time of</w:t>
      </w:r>
      <w:r w:rsidR="007A06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accident was being driven by Father John De </w:t>
      </w:r>
      <w:proofErr w:type="spellStart"/>
      <w:r>
        <w:rPr>
          <w:rFonts w:ascii="Times New Roman" w:hAnsi="Times New Roman" w:cs="Times New Roman"/>
          <w:color w:val="000000"/>
        </w:rPr>
        <w:t>Marchi</w:t>
      </w:r>
      <w:proofErr w:type="spellEnd"/>
      <w:r>
        <w:rPr>
          <w:rFonts w:ascii="Times New Roman" w:hAnsi="Times New Roman" w:cs="Times New Roman"/>
          <w:color w:val="000000"/>
        </w:rPr>
        <w:t xml:space="preserve"> and the first defendant’s vehicle which was</w:t>
      </w:r>
      <w:r w:rsidR="007A06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being driven by the servant or authorised agent of the first defendant, the second defendant.</w:t>
      </w:r>
      <w:r w:rsidR="007A06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accident took place in Kenya on the 22 September 1969. Father John De </w:t>
      </w:r>
      <w:proofErr w:type="spellStart"/>
      <w:r>
        <w:rPr>
          <w:rFonts w:ascii="Times New Roman" w:hAnsi="Times New Roman" w:cs="Times New Roman"/>
          <w:color w:val="000000"/>
        </w:rPr>
        <w:t>Marchi</w:t>
      </w:r>
      <w:proofErr w:type="spellEnd"/>
      <w:r>
        <w:rPr>
          <w:rFonts w:ascii="Times New Roman" w:hAnsi="Times New Roman" w:cs="Times New Roman"/>
          <w:color w:val="000000"/>
        </w:rPr>
        <w:t xml:space="preserve"> was transferred</w:t>
      </w:r>
      <w:r w:rsidR="007A06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work to Ethiopia in August 1970. He came to Kenya solely for the purpose of giving evidence at the</w:t>
      </w:r>
      <w:r w:rsidR="007A06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 on the 22 November 1971 of the claim against the defendants for the damage caused to the</w:t>
      </w:r>
      <w:r w:rsidR="007A06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plaintiffs’ vehicle in the collision. Father John De </w:t>
      </w:r>
      <w:proofErr w:type="spellStart"/>
      <w:r>
        <w:rPr>
          <w:rFonts w:ascii="Times New Roman" w:hAnsi="Times New Roman" w:cs="Times New Roman"/>
          <w:color w:val="000000"/>
        </w:rPr>
        <w:t>Marchi</w:t>
      </w:r>
      <w:proofErr w:type="spellEnd"/>
      <w:r>
        <w:rPr>
          <w:rFonts w:ascii="Times New Roman" w:hAnsi="Times New Roman" w:cs="Times New Roman"/>
          <w:color w:val="000000"/>
        </w:rPr>
        <w:t xml:space="preserve"> was the sole occupant of the plaintiff’s car at</w:t>
      </w:r>
      <w:r w:rsidR="007A06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time of the collision. The claim was determined in favour of the plaintiff purely on a question of fact</w:t>
      </w:r>
      <w:r w:rsidR="007A06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sum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13,600/-.</w:t>
      </w:r>
      <w:r w:rsidR="007A06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is common ground that the basic instruction fee is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1,000/-. The plaintiff claimed an instruction</w:t>
      </w:r>
      <w:r w:rsidR="007A06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fee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3,000/- in his bill of costs. The taxing master after considering the objection to any increase in</w:t>
      </w:r>
      <w:r w:rsidR="007A06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basic fee taxed off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1,000/- and allowed an instruction fee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2,000/-.</w:t>
      </w:r>
      <w:r w:rsidR="007A06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taxing master also allowed a sum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1,064/60 in respect of Father De </w:t>
      </w:r>
      <w:proofErr w:type="spellStart"/>
      <w:r>
        <w:rPr>
          <w:rFonts w:ascii="Times New Roman" w:hAnsi="Times New Roman" w:cs="Times New Roman"/>
          <w:color w:val="000000"/>
        </w:rPr>
        <w:t>Marchi’s</w:t>
      </w:r>
      <w:proofErr w:type="spellEnd"/>
      <w:r>
        <w:rPr>
          <w:rFonts w:ascii="Times New Roman" w:hAnsi="Times New Roman" w:cs="Times New Roman"/>
          <w:color w:val="000000"/>
        </w:rPr>
        <w:t xml:space="preserve"> expenses</w:t>
      </w:r>
      <w:r w:rsidR="007A06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being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824/60 the return air fare to Ethiopia, and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240/- expenses incurred for the witness’s stay</w:t>
      </w:r>
      <w:r w:rsidR="007A06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Nairobi for the purpose of giving evidence and which the taxing master described as a reasonable sum.</w:t>
      </w:r>
      <w:r w:rsidR="007A06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Counsel for the objector has strongly attacked </w:t>
      </w:r>
      <w:r>
        <w:rPr>
          <w:rFonts w:ascii="Times New Roman" w:hAnsi="Times New Roman" w:cs="Times New Roman"/>
          <w:i/>
          <w:iCs/>
          <w:color w:val="000000"/>
        </w:rPr>
        <w:t xml:space="preserve">inter alia </w:t>
      </w:r>
      <w:r>
        <w:rPr>
          <w:rFonts w:ascii="Times New Roman" w:hAnsi="Times New Roman" w:cs="Times New Roman"/>
          <w:color w:val="000000"/>
        </w:rPr>
        <w:t>the taxing master’s ruling that there is a</w:t>
      </w:r>
      <w:r w:rsidR="007A06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practice to allow more than the basic instructions fee when a suit of this type is contested. I understand</w:t>
      </w:r>
      <w:r w:rsidR="007A06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to mean that a practice to that effect has grown up in the court. While there would seem to be no</w:t>
      </w:r>
      <w:r w:rsidR="007A06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legal sanction for it and of course every case must be dealt with on its own facts, a healthy and </w:t>
      </w:r>
      <w:proofErr w:type="spellStart"/>
      <w:r>
        <w:rPr>
          <w:rFonts w:ascii="Times New Roman" w:hAnsi="Times New Roman" w:cs="Times New Roman"/>
          <w:color w:val="000000"/>
        </w:rPr>
        <w:t>savoury</w:t>
      </w:r>
      <w:proofErr w:type="spellEnd"/>
      <w:r w:rsidR="007A06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practice which tends to enlighten advocates in regard to the possible costs which will be incurred in court</w:t>
      </w:r>
      <w:r w:rsidR="007A06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ought not to be condemned provided it does not step outside the bounds of reasonableness.</w:t>
      </w:r>
      <w:r w:rsidR="007A06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in the instant case the contest between the parties at the trial proceeded on the basis of facts</w:t>
      </w:r>
      <w:r w:rsidR="007A06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only, it nevertheless required the exercise of a certain amount of skill both in examination-in-chief and</w:t>
      </w:r>
      <w:r w:rsidR="007A06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cross-examination. In my opinion the most that can be said is that the taxing master was somewhat, only</w:t>
      </w:r>
      <w:r w:rsidR="007A06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slightly but not very much, generous in allowing an instructions fee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2,000/- which by itself</w:t>
      </w:r>
      <w:r w:rsidR="007A06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creates no justification for interference by this court with the taxing master’s discretion.</w:t>
      </w:r>
      <w:r w:rsidR="007A06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cannot find anything in the rules which precludes witness expenses being allowed for a witness who</w:t>
      </w:r>
      <w:r w:rsidR="007A06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has travelled from abroad to give evidence in the court in Kenya. In the instant case Father De </w:t>
      </w:r>
      <w:proofErr w:type="spellStart"/>
      <w:r>
        <w:rPr>
          <w:rFonts w:ascii="Times New Roman" w:hAnsi="Times New Roman" w:cs="Times New Roman"/>
          <w:color w:val="000000"/>
        </w:rPr>
        <w:t>Marchi</w:t>
      </w:r>
      <w:proofErr w:type="spellEnd"/>
      <w:r w:rsidR="007A06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the sole occupant of the vehicle when the collision took place. The plaintiff could not do without his</w:t>
      </w:r>
      <w:r w:rsidR="007A06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evidence. The taxing master correctly appreciated that the witness was reasonably out of the jurisdiction</w:t>
      </w:r>
      <w:r w:rsidR="007A06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court when his evidence was required and that he travelled from Ethiopia solely for the purpose of</w:t>
      </w:r>
      <w:r w:rsidR="007A06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giving evidence at the trial and not for some other purpose. The taxing master further correctly</w:t>
      </w:r>
      <w:r w:rsidR="007A06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appreciated that the evidence of Father De </w:t>
      </w:r>
      <w:proofErr w:type="spellStart"/>
      <w:r>
        <w:rPr>
          <w:rFonts w:ascii="Times New Roman" w:hAnsi="Times New Roman" w:cs="Times New Roman"/>
          <w:color w:val="000000"/>
        </w:rPr>
        <w:t>Marchi</w:t>
      </w:r>
      <w:proofErr w:type="spellEnd"/>
      <w:r>
        <w:rPr>
          <w:rFonts w:ascii="Times New Roman" w:hAnsi="Times New Roman" w:cs="Times New Roman"/>
          <w:color w:val="000000"/>
        </w:rPr>
        <w:t xml:space="preserve"> might have been recorded de bene </w:t>
      </w:r>
      <w:proofErr w:type="spellStart"/>
      <w:r>
        <w:rPr>
          <w:rFonts w:ascii="Times New Roman" w:hAnsi="Times New Roman" w:cs="Times New Roman"/>
          <w:color w:val="000000"/>
        </w:rPr>
        <w:t>esse</w:t>
      </w:r>
      <w:proofErr w:type="spellEnd"/>
      <w:r>
        <w:rPr>
          <w:rFonts w:ascii="Times New Roman" w:hAnsi="Times New Roman" w:cs="Times New Roman"/>
          <w:color w:val="000000"/>
        </w:rPr>
        <w:t xml:space="preserve"> or upon</w:t>
      </w:r>
      <w:r w:rsidR="007A06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commission. The former was not possible. As regards the latter I venture to think it would be probably</w:t>
      </w:r>
      <w:r w:rsidR="007A06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more expensive to have the evidence taken on commission.</w:t>
      </w:r>
      <w:r w:rsidR="007A06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circumstances of this case in my opinion the taxing master properly held that the personal</w:t>
      </w:r>
      <w:r w:rsidR="007A06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attendance of this witness was reasonable and proper.</w:t>
      </w:r>
      <w:r w:rsidR="007A06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my opinion it is not necessary that there should be an express order made by the court to enable the</w:t>
      </w:r>
      <w:r w:rsidR="007A06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expenses of a witness who has travelled from abroad to be claimed. A general order making an award of</w:t>
      </w:r>
      <w:r w:rsidR="007A06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costs embraces such expenses; thereafter, it is for the taxing master to decide what </w:t>
      </w:r>
      <w:bookmarkStart w:id="0" w:name="_GoBack"/>
      <w:bookmarkEnd w:id="0"/>
      <w:r w:rsidR="007A0661">
        <w:rPr>
          <w:rFonts w:ascii="Times New Roman" w:hAnsi="Times New Roman" w:cs="Times New Roman"/>
          <w:color w:val="000000"/>
        </w:rPr>
        <w:t>reasonable amount is</w:t>
      </w:r>
      <w:r>
        <w:rPr>
          <w:rFonts w:ascii="Times New Roman" w:hAnsi="Times New Roman" w:cs="Times New Roman"/>
          <w:color w:val="000000"/>
        </w:rPr>
        <w:t>.</w:t>
      </w:r>
      <w:r w:rsidR="007A06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is not </w:t>
      </w:r>
      <w:r>
        <w:rPr>
          <w:rFonts w:ascii="Times New Roman" w:hAnsi="Times New Roman" w:cs="Times New Roman"/>
          <w:color w:val="000000"/>
        </w:rPr>
        <w:lastRenderedPageBreak/>
        <w:t>necessary that the court should specifically make an order allowing each individual item.</w:t>
      </w:r>
      <w:r w:rsidR="007A06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these reasons these objection proceedings are dismissed with costs.</w:t>
      </w:r>
      <w:r w:rsidR="007A066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Order accordingly.</w:t>
      </w:r>
    </w:p>
    <w:p w:rsidR="00222E05" w:rsidRDefault="00222E05" w:rsidP="00222E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plaintiff:</w:t>
      </w:r>
    </w:p>
    <w:p w:rsidR="00222E05" w:rsidRDefault="00222E05" w:rsidP="00222E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 Malik-Noor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>Archer &amp; Wilcock</w:t>
      </w:r>
      <w:r>
        <w:rPr>
          <w:rFonts w:ascii="Times New Roman" w:hAnsi="Times New Roman" w:cs="Times New Roman"/>
          <w:color w:val="000000"/>
        </w:rPr>
        <w:t>, Nairobi)</w:t>
      </w:r>
    </w:p>
    <w:p w:rsidR="00222E05" w:rsidRDefault="00222E05" w:rsidP="00222E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defendant:</w:t>
      </w:r>
    </w:p>
    <w:p w:rsidR="00664035" w:rsidRDefault="00222E05" w:rsidP="00222E05">
      <w:r>
        <w:rPr>
          <w:rFonts w:ascii="Times New Roman" w:hAnsi="Times New Roman" w:cs="Times New Roman"/>
          <w:i/>
          <w:iCs/>
          <w:color w:val="000000"/>
        </w:rPr>
        <w:t xml:space="preserve">DN Khanna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>Khanna &amp; Co</w:t>
      </w:r>
      <w:r>
        <w:rPr>
          <w:rFonts w:ascii="Times New Roman" w:hAnsi="Times New Roman" w:cs="Times New Roman"/>
          <w:color w:val="000000"/>
        </w:rPr>
        <w:t>, Nairobi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E05"/>
    <w:rsid w:val="00222E05"/>
    <w:rsid w:val="00664035"/>
    <w:rsid w:val="007A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62656-D301-477A-99CB-3528A2E7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2018-07-05T12:55:00Z</dcterms:created>
  <dcterms:modified xsi:type="dcterms:W3CDTF">2018-07-12T09:07:00Z</dcterms:modified>
</cp:coreProperties>
</file>