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11D" w:rsidRDefault="0053511D" w:rsidP="00535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Director of Pensions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Cockar</w:t>
      </w:r>
      <w:proofErr w:type="spellEnd"/>
    </w:p>
    <w:p w:rsidR="0053511D" w:rsidRDefault="0053511D" w:rsidP="00535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53511D" w:rsidRDefault="0053511D" w:rsidP="00535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16 December 1999</w:t>
      </w:r>
    </w:p>
    <w:p w:rsidR="0053511D" w:rsidRDefault="0053511D" w:rsidP="00535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50/99</w:t>
      </w:r>
    </w:p>
    <w:p w:rsidR="0053511D" w:rsidRDefault="0053511D" w:rsidP="00535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Gicheru</w:t>
      </w:r>
      <w:proofErr w:type="spellEnd"/>
      <w:r>
        <w:rPr>
          <w:rFonts w:ascii="Times New Roman" w:hAnsi="Times New Roman" w:cs="Times New Roman"/>
          <w:color w:val="000000"/>
        </w:rPr>
        <w:t xml:space="preserve">, Shah AND </w:t>
      </w:r>
      <w:proofErr w:type="spellStart"/>
      <w:r>
        <w:rPr>
          <w:rFonts w:ascii="Times New Roman" w:hAnsi="Times New Roman" w:cs="Times New Roman"/>
          <w:color w:val="000000"/>
        </w:rPr>
        <w:t>Owuor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53511D" w:rsidRDefault="0053511D" w:rsidP="00535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53511D" w:rsidRDefault="0053511D" w:rsidP="00535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>H K Mutai</w:t>
      </w:r>
    </w:p>
    <w:p w:rsidR="0053511D" w:rsidRDefault="0053511D" w:rsidP="00535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Constitutional law – Holders of constitutional office – Remuneration – Payment of pensions –</w:t>
      </w:r>
    </w:p>
    <w:p w:rsidR="00BC1AC3" w:rsidRDefault="0053511D" w:rsidP="00BC1A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Calculation of pension payable – Applicable law – Failure to amend statute to reflect new salary</w:t>
      </w:r>
      <w:r w:rsidR="00BC1AC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structure – Calculation of pension based on old structure – Whether Appellant erred in relying on old</w:t>
      </w:r>
      <w:r w:rsidR="00BC1AC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salary structure – Constitution sections 99, 104 and 112 – Pensions Act (Chapter 189), sections 3 and 10</w:t>
      </w:r>
      <w:r w:rsidR="00BC1AC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– Constitutional Offices (Remuneration) Act Chapter 423, section 2(1) – Regulations for the Granting of</w:t>
      </w:r>
      <w:r w:rsidR="00BC1AC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Pensions, Gratuities and other Allowances to Officers in the First Schedule to the Pensions Act,</w:t>
      </w:r>
      <w:r w:rsidR="00BC1AC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regulation 20(1)(</w:t>
      </w:r>
      <w:r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i/>
          <w:iCs/>
          <w:color w:val="000000"/>
        </w:rPr>
        <w:t>).</w:t>
      </w:r>
      <w:r w:rsidR="00BC1AC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[2] Judicial review – Orders of </w:t>
      </w:r>
      <w:r>
        <w:rPr>
          <w:rFonts w:ascii="Times New Roman" w:hAnsi="Times New Roman" w:cs="Times New Roman"/>
          <w:color w:val="000000"/>
        </w:rPr>
        <w:t xml:space="preserve">certiorari </w:t>
      </w:r>
      <w:r>
        <w:rPr>
          <w:rFonts w:ascii="Times New Roman" w:hAnsi="Times New Roman" w:cs="Times New Roman"/>
          <w:i/>
          <w:iCs/>
          <w:color w:val="000000"/>
        </w:rPr>
        <w:t xml:space="preserve">and </w:t>
      </w:r>
      <w:r>
        <w:rPr>
          <w:rFonts w:ascii="Times New Roman" w:hAnsi="Times New Roman" w:cs="Times New Roman"/>
          <w:color w:val="000000"/>
        </w:rPr>
        <w:t xml:space="preserve">mandamus </w:t>
      </w:r>
      <w:r>
        <w:rPr>
          <w:rFonts w:ascii="Times New Roman" w:hAnsi="Times New Roman" w:cs="Times New Roman"/>
          <w:i/>
          <w:iCs/>
          <w:color w:val="000000"/>
        </w:rPr>
        <w:t xml:space="preserve">– Whether the orders of </w:t>
      </w:r>
      <w:r>
        <w:rPr>
          <w:rFonts w:ascii="Times New Roman" w:hAnsi="Times New Roman" w:cs="Times New Roman"/>
          <w:color w:val="000000"/>
        </w:rPr>
        <w:t xml:space="preserve">certiorari </w:t>
      </w:r>
      <w:r>
        <w:rPr>
          <w:rFonts w:ascii="Times New Roman" w:hAnsi="Times New Roman" w:cs="Times New Roman"/>
          <w:i/>
          <w:iCs/>
          <w:color w:val="000000"/>
        </w:rPr>
        <w:t>and</w:t>
      </w:r>
      <w:r w:rsidR="00BC1AC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mandamus </w:t>
      </w:r>
      <w:r>
        <w:rPr>
          <w:rFonts w:ascii="Times New Roman" w:hAnsi="Times New Roman" w:cs="Times New Roman"/>
          <w:i/>
          <w:iCs/>
          <w:color w:val="000000"/>
        </w:rPr>
        <w:t>available.</w:t>
      </w:r>
      <w:r w:rsidR="00BC1AC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[3] Words &amp; Phrases – “May” – Whether use of word confers discretion to compute or not to compute</w:t>
      </w:r>
      <w:r w:rsidR="00BC1AC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pension – Pensions Act Chapter 189 section 3(1)</w:t>
      </w:r>
      <w:r w:rsidR="00BC1AC3">
        <w:rPr>
          <w:rFonts w:ascii="Times New Roman" w:hAnsi="Times New Roman" w:cs="Times New Roman"/>
          <w:i/>
          <w:iCs/>
          <w:color w:val="000000"/>
        </w:rPr>
        <w:t xml:space="preserve"> </w:t>
      </w:r>
    </w:p>
    <w:p w:rsidR="00BC1AC3" w:rsidRDefault="00BC1AC3" w:rsidP="00BC1A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</w:p>
    <w:p w:rsidR="00BC1AC3" w:rsidRDefault="0053511D" w:rsidP="00BC1A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  <w:r w:rsidR="00BC1AC3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On</w:t>
      </w:r>
      <w:proofErr w:type="gramEnd"/>
      <w:r>
        <w:rPr>
          <w:rFonts w:ascii="Times New Roman" w:hAnsi="Times New Roman" w:cs="Times New Roman"/>
          <w:color w:val="000000"/>
        </w:rPr>
        <w:t xml:space="preserve"> 1 January 1993, the Kenyan judiciary was detached from the rest of the civil service and a new,</w:t>
      </w:r>
      <w:r w:rsidR="00BC1A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higher salary structure was put in place for those in the</w:t>
      </w:r>
      <w:r w:rsidR="00BC1A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judicial service. As part of the new structure, new job groups, J1, J2 and J3 were introduced for the</w:t>
      </w:r>
      <w:r w:rsidR="00BC1A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judiciary. The Respondent joined the Kenyan judiciary as a resident magistrate on 2 October 1961 and</w:t>
      </w:r>
      <w:r w:rsidR="00BC1A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rose through the ranks to become the Chief Justice on 28 December 1994. He served in that capacity</w:t>
      </w:r>
      <w:r w:rsidR="00BC1A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until, on attaining retirement age, he retired on 3 December 1997. According to the Respondent’s letter of</w:t>
      </w:r>
      <w:r w:rsidR="00BC1A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appointment, his salary was to be within salary scale J3 and he was to enter the salary scale at the</w:t>
      </w:r>
      <w:r w:rsidR="00BC1A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maximum entry point. However, unbeknown to the Respondent, the Constitutional Offices</w:t>
      </w:r>
      <w:r w:rsidR="00BC1A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(Remuneration) Act, Chapter 423, Laws of Kenya of 1987, which governed the remuneration of the</w:t>
      </w:r>
      <w:r w:rsidR="00BC1A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holders of constitutional offices, had not been amended to incorporate the higher salary structure enjoyed</w:t>
      </w:r>
      <w:r w:rsidR="00BC1A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officers in the judiciary and continued to reflect the Chief Justice as being in job group T. In spite of</w:t>
      </w:r>
      <w:r w:rsidR="00BC1A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anomaly, the Respondent and all other holders of constitutional offices within the judiciary were</w:t>
      </w:r>
      <w:r w:rsidR="00BC1A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paid in accordance with the new salary structure. On 2 December 1997, a claim form for the</w:t>
      </w:r>
      <w:r w:rsidR="00BC1A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Respondent’s retirement pension was filled in and forwarded to the treasury setting out the rates of salary</w:t>
      </w:r>
      <w:r w:rsidR="00BC1A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pension allowances that he had been receiving for his last three years of service and on which his</w:t>
      </w:r>
      <w:r w:rsidR="00BC1A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pension was to be calculated based on the Pensions Act, Chapter 423 and regulation 20(1) of the</w:t>
      </w:r>
      <w:r w:rsidR="00BC1A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Pensions Regulations. According to these figures the Respondent was due to receive a monthly pension</w:t>
      </w:r>
      <w:r w:rsidR="00BC1A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56 067-59 and a lump sum gratuity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4 485 407-80. However, in a letter dated 3</w:t>
      </w:r>
      <w:r w:rsidR="00BC1A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December 1997, the Appellant, whose duty it was to calculate and pay pensions, informed the</w:t>
      </w:r>
      <w:r w:rsidR="00BC1A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Respondent, that his monthly pension had been assessed at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22 990-60 and his lump sum gratuity at</w:t>
      </w:r>
      <w:r w:rsidR="00BC1AC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1 839 247-90. The Appellant’s calculation was based on the Constitutional Offices (Remuneration)</w:t>
      </w:r>
      <w:r w:rsidR="00BC1A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Act, which she claimed governed,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the calculation of pensions, and according to which the</w:t>
      </w:r>
      <w:r w:rsidR="00BC1A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was still earning on the lower salary scale, group T. On 5 October 1998 the Respondent filed</w:t>
      </w:r>
      <w:r w:rsidR="00BC1A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notice of motion against the Appellant seeking orders of </w:t>
      </w:r>
      <w:r>
        <w:rPr>
          <w:rFonts w:ascii="Times New Roman" w:hAnsi="Times New Roman" w:cs="Times New Roman"/>
          <w:i/>
          <w:iCs/>
          <w:color w:val="000000"/>
        </w:rPr>
        <w:t xml:space="preserve">certiorari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</w:rPr>
        <w:t xml:space="preserve">mandamus </w:t>
      </w:r>
      <w:r>
        <w:rPr>
          <w:rFonts w:ascii="Times New Roman" w:hAnsi="Times New Roman" w:cs="Times New Roman"/>
          <w:color w:val="000000"/>
        </w:rPr>
        <w:t>to quash the</w:t>
      </w:r>
      <w:r w:rsidR="00BC1A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Appellant’s decision and compel her to assess his pension and gratuity on the basis of the full annual</w:t>
      </w:r>
      <w:r w:rsidR="00BC1A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pensionable emoluments he enjoyed at the date of his retirement. The court ruled in his favour and found</w:t>
      </w:r>
      <w:r w:rsidR="00BC1A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his actual salary at the time of his retirement should have been the basis of computing his pension.</w:t>
      </w:r>
      <w:r w:rsidR="00BC1A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 appealed on the grounds,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 xml:space="preserve">, that the court erred in granting the orders of </w:t>
      </w:r>
      <w:r>
        <w:rPr>
          <w:rFonts w:ascii="Times New Roman" w:hAnsi="Times New Roman" w:cs="Times New Roman"/>
          <w:i/>
          <w:iCs/>
          <w:color w:val="000000"/>
        </w:rPr>
        <w:t>certiorari</w:t>
      </w:r>
      <w:r w:rsidR="00BC1AC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</w:rPr>
        <w:t xml:space="preserve">mandamus </w:t>
      </w:r>
      <w:r>
        <w:rPr>
          <w:rFonts w:ascii="Times New Roman" w:hAnsi="Times New Roman" w:cs="Times New Roman"/>
          <w:color w:val="000000"/>
        </w:rPr>
        <w:t>since the power to grant pensions was discretionary and the court could not substitute its</w:t>
      </w:r>
      <w:r w:rsidR="00BC1A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own discretion for that of the Appellant. Further, the Appellant’s counsel argued that in calculating the</w:t>
      </w:r>
      <w:r w:rsidR="00BC1A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Respondent’s pension the Appellant was enjoined in law to rely on his salary as set out in the</w:t>
      </w:r>
      <w:r w:rsidR="00BC1A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Offices (Remuneration) Act and any attempt by her to compute the pension outside that</w:t>
      </w:r>
      <w:r w:rsidR="00BC1A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would have been illegal. Counsel for the Respondent argued that the salary paid to judicial officers</w:t>
      </w:r>
      <w:r w:rsidR="00BC1A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been approved by Parliament annually, that the government could not run away from its obligations</w:t>
      </w:r>
      <w:r w:rsidR="00BC1A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that the Pensions Act </w:t>
      </w:r>
      <w:r>
        <w:rPr>
          <w:rFonts w:ascii="Times New Roman" w:hAnsi="Times New Roman" w:cs="Times New Roman"/>
          <w:color w:val="000000"/>
        </w:rPr>
        <w:lastRenderedPageBreak/>
        <w:t>was the statute applicable to the situation. Moreover, he submitted that, as the</w:t>
      </w:r>
      <w:r w:rsidR="00BC1A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Appellant’s actions were of an administrative nature, the orders of </w:t>
      </w:r>
      <w:r>
        <w:rPr>
          <w:rFonts w:ascii="Times New Roman" w:hAnsi="Times New Roman" w:cs="Times New Roman"/>
          <w:i/>
          <w:iCs/>
          <w:color w:val="000000"/>
        </w:rPr>
        <w:t xml:space="preserve">certiorari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</w:rPr>
        <w:t xml:space="preserve">mandamus </w:t>
      </w:r>
      <w:r>
        <w:rPr>
          <w:rFonts w:ascii="Times New Roman" w:hAnsi="Times New Roman" w:cs="Times New Roman"/>
          <w:color w:val="000000"/>
        </w:rPr>
        <w:t>had to issue.</w:t>
      </w:r>
      <w:r w:rsidR="00BC1AC3">
        <w:rPr>
          <w:rFonts w:ascii="Times New Roman" w:hAnsi="Times New Roman" w:cs="Times New Roman"/>
          <w:color w:val="000000"/>
        </w:rPr>
        <w:t xml:space="preserve"> </w:t>
      </w:r>
    </w:p>
    <w:p w:rsidR="00BC1AC3" w:rsidRDefault="00BC1AC3" w:rsidP="00BC1A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C1AC3" w:rsidRDefault="0053511D" w:rsidP="00BC1A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power given to the Minister by section 3 of the Pensions Act, and delegated by him to the</w:t>
      </w:r>
      <w:r w:rsidR="00BC1A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Director of Pensions by legal notice number 317 of 1974, though connoting a discretionary power to</w:t>
      </w:r>
      <w:r w:rsidR="00BC1A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grant pensions, did not empower the Appellant to deprive a person who was eligible for a pension of that</w:t>
      </w:r>
      <w:r w:rsidR="00BC1A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pension. Even if there was such a discretion, its use had to be judicious and</w:t>
      </w:r>
      <w:r w:rsidR="00BC1A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computation of a pension on the basis of a job group that did not exist for the person in question</w:t>
      </w:r>
      <w:r w:rsidR="00BC1A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be an injudicious and arbitrary exercise of that discretion. The creation of a new salaries structure</w:t>
      </w:r>
      <w:r w:rsidR="00BC1A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judicial officers must have been done after due consideration by the government and the government</w:t>
      </w:r>
      <w:r w:rsidR="00BC1A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could not now say that it had made no provision for payment of the pensions on the new structure. The</w:t>
      </w:r>
      <w:r w:rsidR="00BC1A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plea that the Respondent’s salary was not in conformity with the Constitutional Offices (Remuneration)</w:t>
      </w:r>
      <w:r w:rsidR="00BC1A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was to no avail in the face of the provisions of regulation 20 of the Pensions Regulations which</w:t>
      </w:r>
      <w:r w:rsidR="00BC1A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clearly provided that a pension was to be calculated by reference to the period of three years immediately</w:t>
      </w:r>
      <w:r w:rsidR="00BC1A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preceding the person in question’s date of retirement.</w:t>
      </w:r>
      <w:r w:rsidR="00BC1A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arriving at her decision, the Appellant came to a decision that was contrary to the Constitution, the</w:t>
      </w:r>
      <w:r w:rsidR="00BC1A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Pensions Act, Chapter 189 and the Constitutional Offices (Remuneration) Act and as such </w:t>
      </w:r>
      <w:r>
        <w:rPr>
          <w:rFonts w:ascii="Times New Roman" w:hAnsi="Times New Roman" w:cs="Times New Roman"/>
          <w:i/>
          <w:iCs/>
          <w:color w:val="000000"/>
        </w:rPr>
        <w:t>certiorari</w:t>
      </w:r>
      <w:r w:rsidR="00BC1AC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would lie to quash the decision. Though the issue of </w:t>
      </w:r>
      <w:r>
        <w:rPr>
          <w:rFonts w:ascii="Times New Roman" w:hAnsi="Times New Roman" w:cs="Times New Roman"/>
          <w:i/>
          <w:iCs/>
          <w:color w:val="000000"/>
        </w:rPr>
        <w:t xml:space="preserve">mandamus </w:t>
      </w:r>
      <w:r>
        <w:rPr>
          <w:rFonts w:ascii="Times New Roman" w:hAnsi="Times New Roman" w:cs="Times New Roman"/>
          <w:color w:val="000000"/>
        </w:rPr>
        <w:t>should have been limited to a direction</w:t>
      </w:r>
      <w:r w:rsidR="00BC1A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requiring the Appellant to perform her legal duty by computing the Respondent’s pension and gratuity in</w:t>
      </w:r>
      <w:r w:rsidR="00BC1A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accordance with the law, as the sum due under the new structure was not in dispute, it would have been</w:t>
      </w:r>
      <w:r w:rsidR="00BC1AC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futile to ask her to recalculate the pension.</w:t>
      </w:r>
      <w:r w:rsidR="00BC1AC3">
        <w:rPr>
          <w:rFonts w:ascii="Times New Roman" w:hAnsi="Times New Roman" w:cs="Times New Roman"/>
          <w:color w:val="000000"/>
        </w:rPr>
        <w:t xml:space="preserve"> </w:t>
      </w:r>
    </w:p>
    <w:p w:rsidR="00BC1AC3" w:rsidRDefault="00BC1AC3" w:rsidP="00BC1A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53511D" w:rsidRDefault="0053511D" w:rsidP="00BC1A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53511D" w:rsidRDefault="0053511D" w:rsidP="00535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53511D" w:rsidRDefault="0053511D" w:rsidP="00535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53511D" w:rsidRDefault="0053511D" w:rsidP="00535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53511D" w:rsidRDefault="0053511D" w:rsidP="00535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53511D" w:rsidRDefault="0053511D" w:rsidP="00535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Kenya National Examination Council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Njoroge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</w:t>
      </w:r>
      <w:r>
        <w:rPr>
          <w:rFonts w:ascii="Times New Roman" w:hAnsi="Times New Roman" w:cs="Times New Roman"/>
          <w:color w:val="000000"/>
        </w:rPr>
        <w:t>civil appeal number 266 of 1986</w:t>
      </w:r>
    </w:p>
    <w:p w:rsidR="0053511D" w:rsidRDefault="0053511D" w:rsidP="00535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gramStart"/>
      <w:r>
        <w:rPr>
          <w:rFonts w:ascii="Times New Roman" w:hAnsi="Times New Roman" w:cs="Times New Roman"/>
          <w:color w:val="000000"/>
        </w:rPr>
        <w:t>unreported</w:t>
      </w:r>
      <w:proofErr w:type="gramEnd"/>
      <w:r>
        <w:rPr>
          <w:rFonts w:ascii="Times New Roman" w:hAnsi="Times New Roman" w:cs="Times New Roman"/>
          <w:color w:val="000000"/>
        </w:rPr>
        <w:t>)</w:t>
      </w:r>
    </w:p>
    <w:p w:rsidR="0053511D" w:rsidRDefault="0053511D" w:rsidP="00535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Raichand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Khimji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 v Attorney-General </w:t>
      </w:r>
      <w:r>
        <w:rPr>
          <w:rFonts w:ascii="Times New Roman" w:hAnsi="Times New Roman" w:cs="Times New Roman"/>
          <w:color w:val="000000"/>
        </w:rPr>
        <w:t>[1972] EA 536</w:t>
      </w:r>
    </w:p>
    <w:p w:rsidR="0053511D" w:rsidRDefault="0053511D" w:rsidP="00535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53511D" w:rsidRDefault="0053511D" w:rsidP="00535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 v Minister of Health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Exparte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Committee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Vistors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Glamorgan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Country Mental Hospital [1939] 1</w:t>
      </w:r>
    </w:p>
    <w:p w:rsidR="0053511D" w:rsidRDefault="0053511D" w:rsidP="00535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KB 232 CA; </w:t>
      </w:r>
      <w:r>
        <w:rPr>
          <w:rFonts w:ascii="Times New Roman" w:hAnsi="Times New Roman" w:cs="Times New Roman"/>
          <w:color w:val="000000"/>
        </w:rPr>
        <w:t>[1938] 4 All ER 32</w:t>
      </w:r>
    </w:p>
    <w:p w:rsidR="0053511D" w:rsidRDefault="0053511D" w:rsidP="00535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Rederiaktiebologet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Ampitrite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 </w:t>
      </w:r>
      <w:r>
        <w:rPr>
          <w:rFonts w:ascii="Times New Roman" w:hAnsi="Times New Roman" w:cs="Times New Roman"/>
          <w:color w:val="000000"/>
        </w:rPr>
        <w:t>[1921] 3 KB 500</w:t>
      </w:r>
    </w:p>
    <w:p w:rsidR="0053511D" w:rsidRDefault="0053511D" w:rsidP="00535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Reilly v R </w:t>
      </w:r>
      <w:r>
        <w:rPr>
          <w:rFonts w:ascii="Times New Roman" w:hAnsi="Times New Roman" w:cs="Times New Roman"/>
          <w:color w:val="000000"/>
        </w:rPr>
        <w:t>(1934) AC 176</w:t>
      </w:r>
    </w:p>
    <w:p w:rsidR="003F18BF" w:rsidRDefault="0053511D" w:rsidP="0053511D">
      <w:r>
        <w:rPr>
          <w:rFonts w:ascii="Times New Roman" w:hAnsi="Times New Roman" w:cs="Times New Roman"/>
          <w:i/>
          <w:iCs/>
          <w:color w:val="000000"/>
        </w:rPr>
        <w:t xml:space="preserve">Robertson v Minister of Pensions </w:t>
      </w:r>
      <w:r>
        <w:rPr>
          <w:rFonts w:ascii="Times New Roman" w:hAnsi="Times New Roman" w:cs="Times New Roman"/>
          <w:color w:val="000000"/>
        </w:rPr>
        <w:t>[1948] 2 All ER 767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11D"/>
    <w:rsid w:val="003F18BF"/>
    <w:rsid w:val="0053511D"/>
    <w:rsid w:val="00BC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5080E-8C6E-4307-AFCA-13A33462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2018-07-05T11:23:00Z</dcterms:created>
  <dcterms:modified xsi:type="dcterms:W3CDTF">2018-07-12T10:35:00Z</dcterms:modified>
</cp:coreProperties>
</file>