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Director of Pensions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Cockar</w:t>
      </w:r>
      <w:proofErr w:type="spellEnd"/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December 1999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50/99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58537C" w:rsidRDefault="00B04A35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Holders of constitutional office – Remuneration – Payment of pensions –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Calculation of pension payable – Applicable law – Failure to amend statute to reflect new salary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structure – Calculation of pension based on old structure – Whether Appellant erred in relying on old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salary structure – Constitution sections 99, 104 and 112 – Pensions Act (Chapter 189), sections 3 and 10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Constitutional Offices (Remuneration) Act Chapter 423, section 2(1) – Regulations for the Granting of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Pensions, Gratuities and other Allowances to Officers in the First Schedule to the Pensions Act,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regulation 20(1)(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).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[2] Judicial review – Orders of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mandamus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the orders of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and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mandamus </w:t>
      </w:r>
      <w:r>
        <w:rPr>
          <w:rFonts w:ascii="Times New Roman" w:hAnsi="Times New Roman" w:cs="Times New Roman"/>
          <w:i/>
          <w:iCs/>
          <w:color w:val="000000"/>
        </w:rPr>
        <w:t>available.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Words &amp; Phrases – “May” – Whether use of word confers discretion to compute or not to compute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pension – Pensions Act Chapter 189 section 3(1)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58537C" w:rsidRDefault="0058537C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B04A35" w:rsidRDefault="0058537C" w:rsidP="005853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 JA: </w:t>
      </w:r>
      <w:r>
        <w:rPr>
          <w:rFonts w:ascii="Times New Roman" w:hAnsi="Times New Roman" w:cs="Times New Roman"/>
          <w:color w:val="000000"/>
        </w:rPr>
        <w:t>Section 99(1) of the Constitution of Kenya is in the following terms:</w:t>
      </w:r>
    </w:p>
    <w:p w:rsidR="00B04A35" w:rsidRDefault="00B04A35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“99(1)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ubject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subsection (2), all revenues or other moneys raised or received for the purposes of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of Kenya shall be paid into and form a Consolidated fund from which no moneys shall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withdrawn except as may be authorized by this Constitution or by an Act of Parliament (including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Appropriation Act) or by a vote on account passed by the National Assembly under section 101”.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(2) of this relates to the provision by or under an Act of Parliament for any revenues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of Kenya to be paid into some public fund (other than the consolidated fund) established for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specific purpose, or to be retained by the authority that received them for the purpose of defraying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expenses of that authority, but with the restriction that moneys from any such public fund shall not be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withdrawn unless the issue of those moneys has been authorized by or under a law; and section 101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relates to authorization of expenditure in advance of the Appropriation Act for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financial year.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104(1), (2), (3) and (5) of the Constitution of Kenya provides that: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“104(1) 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be paid to the holders of the offices to which this section applies such salary and such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allowances as may be prescribed by or under an Act of Parliament.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salaries and any allowances payable to the holders of the offices to which this section applies shall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charged upon the consolidated fund.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salary payable to the holder of an office to which this section applies and his other terms of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(other than allowances that are not taken into account in computing, under any law in that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behalf, any pension payable in respect of his service in that office) shall not be altered to his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disadvantage after his appointment.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This section applies to the offices of Judge of the High Court, Judge of the Court of Appeal, member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Public Service Commission, Attorney-General and Controller and Auditor-General”.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sections 60(2) and 64(2) of the Constitution of Kenya the Chief Justice is both a Judge of the High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and the Court of Appeal. Section 104, 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, is therefore applicable to him.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3(1) of the Pensions Act, Chapter 189 of the Laws of Kenya, hereinafter called the Pensions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provides that: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“3(1) Pension, gratuities and other allowances may be granted by the Minister, in accordance with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Pensions Regulations, to officers who have been in the service of the government”.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power of the Minister under the aforesaid section is delegated to the principal </w:t>
      </w:r>
      <w:r w:rsidR="0058537C">
        <w:rPr>
          <w:rFonts w:ascii="Times New Roman" w:hAnsi="Times New Roman" w:cs="Times New Roman"/>
          <w:color w:val="000000"/>
        </w:rPr>
        <w:t>pension’s</w:t>
      </w:r>
      <w:r>
        <w:rPr>
          <w:rFonts w:ascii="Times New Roman" w:hAnsi="Times New Roman" w:cs="Times New Roman"/>
          <w:color w:val="000000"/>
        </w:rPr>
        <w:t xml:space="preserve"> officer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pensions division of the treasury now called the Director of Pensions, the Appellant herein. For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this appeal, regulation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Regulations for the granting of pensions, gratuities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allowances to officers in the First Schedule to the Pensions Act, hereinafter referred to as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Regulations, is in the following terms: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“20(1) For the purpose of computing the amount of the pension or gratuity of an officer who has had a period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not less than three years’ pensionable service before his retirement –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a)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the case of an officer who has held the same office for a period of three years immediately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preceding the date of his retirement, the full annual pensionable emoluments enjoyed by him at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date in respect of that office shall be taken”.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herein joined the service of the Government of Kenya in a civil capacity on 2 October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1961 as a resident magistrate and rose through the ranks to a senior resident magistrate on 15 September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1967,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puisne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on 16 </w:t>
      </w:r>
      <w:r>
        <w:rPr>
          <w:rFonts w:ascii="Times New Roman" w:hAnsi="Times New Roman" w:cs="Times New Roman"/>
          <w:color w:val="000000"/>
        </w:rPr>
        <w:lastRenderedPageBreak/>
        <w:t>November 1977, a Judge of Appeal on 19 February 1990 and to a Chief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with effect from 29 December 1994.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retired on 3 December 1997 after attaining the mandatory retirement age of 74 years.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judiciary was delinked from the Kenya civil service with effect from 1 January 1993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 the service of the delinked Kenya judiciary enjoyed a higher salary structure than that applicable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Kenya civil service. On his retirement with effect from 3 December 1997, the Respondent had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enjoying the higher salary structure of the delinked Kenya judiciary according to him, therefore,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computation of his pension and lump sum gratuity ought to have been in accordance with the higher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salary structure enjoyed by those in the service of the delinked Kenya judiciary. Thus, in computing his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and lump sum gratuity, the full annual pensionable emoluments enjoyed by him as at the date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preceding the effective date of his retirement should have been taken. This would be in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consonance with section 10 of the Pensions Act which provides that: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“10. A pension granted to an officer under this Act shall not exceed the full pensionable emoluments drawn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him at the date of his retirement”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regulation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Regulations as is set out above. Such computation, according to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would have led to a correct assessment of his pension and lump sum gratuity which should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been at the rate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56 067-59 per month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4 485 407-80 respectively.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her assessment dated 3 December 1997 and addressed to the Respondent, the Appellant assessed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Respondent’s monthly pension at the rate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22 990–60 and a lump sum gratuity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1 839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247-90. According to the Appellant, the determinant in this assessment, though at a higher level, was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Offices (Remuneration) Act, Chapter 423 of the Laws of Kenya, hereinafter called the Act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not been amended to incorporate the higher salary structure enjoyed by holders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offices in the delinked Kenya judiciary. To the Appellant, therefore, no further sums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are due and payable to the Respondent under the Pensions Act. Indeed, this was the burden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case in the superior court. According to her counsel in that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>, who also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for her in this Court, the Appellant’s only problem was the appropriate salary to be taken into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when computing the pension payable to the </w:t>
      </w:r>
      <w:proofErr w:type="gramStart"/>
      <w:r>
        <w:rPr>
          <w:rFonts w:ascii="Times New Roman" w:hAnsi="Times New Roman" w:cs="Times New Roman"/>
          <w:color w:val="000000"/>
        </w:rPr>
        <w:t>Respondent.</w:t>
      </w:r>
      <w:proofErr w:type="gramEnd"/>
      <w:r>
        <w:rPr>
          <w:rFonts w:ascii="Times New Roman" w:hAnsi="Times New Roman" w:cs="Times New Roman"/>
          <w:color w:val="000000"/>
        </w:rPr>
        <w:t xml:space="preserve"> To counsel, the Appellant was enjoined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law in this regard to rely on the Respondent’s salary as set out in the Act. Unfortunately, the salary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drawn by the Respondent as at the date of his retirement was not in conformity with the Act. This,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counsel, could only be attributed to the failure by the Attorney-General to bring to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for enactment an amendment to the Act to incorporate the higher salary structure enjoyed by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holders of constitutional offices in the delinked Kenya judiciary and thus avoid the present untidy legal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 in this regard. To counsel, the Appellant obeyed the law and any administrative directive in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to the computation of the Respondent’s pension and lump sum gratuity outside the Act was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ruling dated and delivered on 25 January 1999,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 observed that pension is based 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 salary and the salary the Respondent was drawing before his retirement was known. That salary,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Learned Judge, was what should have been the basis of computing the Respondent’s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pension. The Learned Judge then proceeded to grant the Respondent the reliefs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which he had sought in the superior court by a notice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motion dated 5 October 1998. These reliefs were to quash the Appellant’s decision determining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pension payable to the Respondent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22 990-60 per month and a lump sum gratuity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1 839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247-90 and to compel her to assess the Respondent’s said pension and lump sum gratuity on the basis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full annual pensionable emoluments enjoyed by him as at the date of his retirement.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by the grant of these reliefs by the superior court to the Respondent, the Appellant has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this Court, the basis of her complaint being encapsulated in four grounds of appeal. At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of this appeal on 18 November 1999,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 argued grounds one and two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Appellant’s appeal together and grounds three and four of the said appeal together.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and second grounds of the Appellant’s appeal concern the grant of the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 xml:space="preserve">by the superior court as sought in that court by the Respondent.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to grant pension is discretionary and the exercise of that power by the Appellant as it affects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regular and in accordance with the Pensions Act. The superior court could not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constitute itself as an appeal court from the administrative decision of the Appellant. Nor could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substitute its own discretion with that of the Appellant. Hence, the grant of the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was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erroneous. Similarly, the issuing of the order for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was wrong as there was no determination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pension by the president. Thus, the superior court could not compel a specific act to be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 which itself could not order. </w:t>
      </w:r>
      <w:r>
        <w:rPr>
          <w:rFonts w:ascii="Times New Roman" w:hAnsi="Times New Roman" w:cs="Times New Roman"/>
          <w:color w:val="000000"/>
        </w:rPr>
        <w:lastRenderedPageBreak/>
        <w:t>This latter submission related to the Respondent’s prayer for an order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 xml:space="preserve">requiring the Appellant to pay to the Respondent a gratuity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4 485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409-80 with interest at the prevailing commercial rate of 24% per annum which later sum was purported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as a result of a determination of the Respondent’s pension by the office of the president.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third and fourth grounds of appeal relate to the computation of the Respondent’s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on the basis of the salary he was drawing at the date of his retirement as opposed to that set out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Act and the failure to effect the requisite amendments to the Pensions Act to reflect the pension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awardable to the members of the delinked Kenya judiciary.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>, it is impossible to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compute pension for the holders of constitutional offices in the delinked Kenya judiciary unless the Act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appropriately amended. In the absence of such amendment and the pensions Act not reflecting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awardable to members of the delinked Kenya judiciary, the Appellant cannot be faulted for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acting within the provisions of the Pensions Act.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response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was that the salary paid to the judicial officers have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approved by Parliament from year to year and the government of Kenya cannot run away from its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obligations which are already in place. According to him, the administration of the Pensions Act is a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of law and the Appellant cannot escape the obligations imposed by that Act. In determining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pension under the Kenya civil service salary structure, the Appellant acted outside her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and as her role remained administrative, the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had to issue.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2(1) of the Act is in the following terms:</w:t>
      </w:r>
    </w:p>
    <w:p w:rsidR="0058537C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“2(1) The salaries to be paid to the holders of the offices specified in the first column of the schedule, being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offices mentioned in section 104 of the Constitution,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shall, with effect from the 1 July 1985, be at the annual salary scales or rates specified in relation to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offices in the second column of that schedule.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where a salary scale is specified the holder of the office shall be paid such salary within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scale as the President may determine”.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8537C" w:rsidRDefault="0058537C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8537C" w:rsidRDefault="00B04A35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schedule referred to in this subsection which former appears to have been last amended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Act 6 of 1986, the salary scale of the Chief Justice who is in job group T commences at K£ 10 302 per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annum increasing by an annual increment of K£ 324 to K£ 10 626 per annum, and thereafter increasing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annual increments of K£ 360 to K£ 12 066 per annum. Yet on the appointment of the Respondent 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 with effect from 29 December 1994 his salary scale in job group J3 was K£ 20 358 – 42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882 and he entered that salary scale at the maximum salary point of K£ 42 882 per annum. This salary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that of other holders of constitutional offices in the delinked Kenya judiciary was not reflected in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Yet, year after year the Respondent like all other holders of constitutional offices in the delinked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judiciary was progressively paid a salary in job group J3, which never featured nor does it now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feature, in the Act. This payment was legitimate, for being a charge on the consolidated fund, it was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sanctioned year after year by the Appropriation Act as indicated at the beginning of this judgment.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in each financial year, vote R 26 in the Appropriation Act relates to the amount of money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for the salaries and expenses of running the judicial services, including the High Court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Kenya, the Court of Appeal, Magistrates’ and </w:t>
      </w:r>
      <w:proofErr w:type="spellStart"/>
      <w:r>
        <w:rPr>
          <w:rFonts w:ascii="Times New Roman" w:hAnsi="Times New Roman" w:cs="Times New Roman"/>
          <w:color w:val="000000"/>
        </w:rPr>
        <w:t>Kadhi’s</w:t>
      </w:r>
      <w:proofErr w:type="spellEnd"/>
      <w:r>
        <w:rPr>
          <w:rFonts w:ascii="Times New Roman" w:hAnsi="Times New Roman" w:cs="Times New Roman"/>
          <w:color w:val="000000"/>
        </w:rPr>
        <w:t xml:space="preserve"> courts including counsel briefed by court. Under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104(1) of the Constitution of Kenya, holders of constitutional offices to which that section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are paid such salary and such allowances as may be prescribed by or under an Act of Parliament.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doubt the appropriate Act of Parliament in this regard is the Act but in its moribund state since 1986,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Appropriation Act which authorizes the payment of their appropriate salaries has the effect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rectifying the deficiency in the said Act from year to year so that the payment of such salaries 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legitimate. For this reason, the higher salary scale under which the holders of constitutional offices in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delinked Kenya judiciary are paid their salaries is legitimate and on that account, the Respondent’s full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pensionable emoluments as at the date of his retirement on 3 December 1997 should have been the basis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computation of his pension and lump sum gratuity. Failure by the Appellant to so compute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pension and lump sum gratuity was without jurisdiction and because of this,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Judge was right in granting the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as sought by the Respondent in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 To require the Appellant to perform her legal duty of computing the Respondent’s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pension and lump sum gratuity in accordance with the law, the issuing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to this extent only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</w:t>
      </w:r>
      <w:r>
        <w:rPr>
          <w:rFonts w:ascii="Times New Roman" w:hAnsi="Times New Roman" w:cs="Times New Roman"/>
          <w:color w:val="000000"/>
        </w:rPr>
        <w:lastRenderedPageBreak/>
        <w:t>necessary. In the result, I would dismiss the Appellant’s appeal with costs to the Respondent. 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 agree, it is so ordered.</w:t>
      </w:r>
      <w:r w:rsidR="0058537C">
        <w:rPr>
          <w:rFonts w:ascii="Times New Roman" w:hAnsi="Times New Roman" w:cs="Times New Roman"/>
          <w:color w:val="000000"/>
        </w:rPr>
        <w:t xml:space="preserve"> </w:t>
      </w:r>
    </w:p>
    <w:p w:rsidR="0058537C" w:rsidRDefault="0058537C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8537C" w:rsidRDefault="00B04A35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SHAH JA: </w:t>
      </w:r>
      <w:r>
        <w:rPr>
          <w:rFonts w:ascii="Times New Roman" w:hAnsi="Times New Roman" w:cs="Times New Roman"/>
          <w:color w:val="000000"/>
        </w:rPr>
        <w:t xml:space="preserve">The Respondent, Abdul Majid </w:t>
      </w:r>
      <w:proofErr w:type="spellStart"/>
      <w:r>
        <w:rPr>
          <w:rFonts w:ascii="Times New Roman" w:hAnsi="Times New Roman" w:cs="Times New Roman"/>
          <w:color w:val="000000"/>
        </w:rPr>
        <w:t>Cockar</w:t>
      </w:r>
      <w:proofErr w:type="spellEnd"/>
      <w:r>
        <w:rPr>
          <w:rFonts w:ascii="Times New Roman" w:hAnsi="Times New Roman" w:cs="Times New Roman"/>
          <w:color w:val="000000"/>
        </w:rPr>
        <w:t>, was the Chief Justice of the Republic of Kenya from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 December 1994 until 3 December 1997 when he retired upon attaining the mandatory retirement age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74 years. He joined the judiciary of Kenya in 1961 and had always since been an officer in judicial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so that at the time he retired he was a public servant within the meaning of the Pensions Act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189 Laws of Kenya (the Act).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judiciary was delinked from the civil service in 1993 and since then those in judicial service have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enjoyed a new salary structure. The said delinking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step in the right direction. I need not go into the reasons for such delinking. The same are obvious.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appointment as the chief justice was pursuant to the provision in section 61(1)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(the Constitution). His letter of appointment read (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) as 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accordance with the provisions of the Constitutional Officers (Remuneration) Act, your salary will be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salary scale J3 for the Chief Justice; that is K£ 20 358 – 42 882 pa with effect from 28 December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1994. You will enter this salary scale at the maximum entry 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>point that is K 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42 882 pa”.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Job groups J1, J2 and J3 were introduced after the aforesaid delinking of the judiciary from the civil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 These job groups have, however, not yet found their way into the Constitutional Offices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(Remuneration) Act. The schedule to this Act goes up to job group T only. This is the anomaly which has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bedeviled the issues raised in this appeal as well as in the superior court.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 I </w:t>
      </w:r>
      <w:proofErr w:type="spellStart"/>
      <w:r>
        <w:rPr>
          <w:rFonts w:ascii="Times New Roman" w:hAnsi="Times New Roman" w:cs="Times New Roman"/>
          <w:color w:val="000000"/>
        </w:rPr>
        <w:t>Kanja</w:t>
      </w:r>
      <w:proofErr w:type="spellEnd"/>
      <w:r>
        <w:rPr>
          <w:rFonts w:ascii="Times New Roman" w:hAnsi="Times New Roman" w:cs="Times New Roman"/>
          <w:color w:val="000000"/>
        </w:rPr>
        <w:t>, on behalf of the accounting officer of the judiciary, under reference number 264, filled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form for claim for retirement pension due to the Respondent and forwarded the same to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treasury for action by the chief accountant </w:t>
      </w:r>
      <w:proofErr w:type="spellStart"/>
      <w:r>
        <w:rPr>
          <w:rFonts w:ascii="Times New Roman" w:hAnsi="Times New Roman" w:cs="Times New Roman"/>
          <w:color w:val="000000"/>
        </w:rPr>
        <w:t>pensins</w:t>
      </w:r>
      <w:proofErr w:type="spellEnd"/>
      <w:r>
        <w:rPr>
          <w:rFonts w:ascii="Times New Roman" w:hAnsi="Times New Roman" w:cs="Times New Roman"/>
          <w:color w:val="000000"/>
        </w:rPr>
        <w:t xml:space="preserve">, on 2 December 1997. In this form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Kanja</w:t>
      </w:r>
      <w:proofErr w:type="spellEnd"/>
      <w:r>
        <w:rPr>
          <w:rFonts w:ascii="Times New Roman" w:hAnsi="Times New Roman" w:cs="Times New Roman"/>
          <w:color w:val="000000"/>
        </w:rPr>
        <w:t xml:space="preserve"> set out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rates of salary and pensionable allowance </w:t>
      </w:r>
      <w:proofErr w:type="spellStart"/>
      <w:r>
        <w:rPr>
          <w:rFonts w:ascii="Times New Roman" w:hAnsi="Times New Roman" w:cs="Times New Roman"/>
          <w:color w:val="000000"/>
        </w:rPr>
        <w:t>appertinant</w:t>
      </w:r>
      <w:proofErr w:type="spellEnd"/>
      <w:r>
        <w:rPr>
          <w:rFonts w:ascii="Times New Roman" w:hAnsi="Times New Roman" w:cs="Times New Roman"/>
          <w:color w:val="000000"/>
        </w:rPr>
        <w:t xml:space="preserve"> to the last three years of the Respondent’s service.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salary was shown as 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</w:p>
    <w:p w:rsidR="00B04A35" w:rsidRDefault="00B04A35" w:rsidP="00585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December 1994 to 28 December 1994 @ K£25 236 pa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29 December 1994 to 30 June 1995 @ K£42 882 pa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 July 1995 to 30 June 1995 @ K£50 595 pa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 July 1997 to 31 October 1997 @ K£55 665 pa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From 1 November 1997 to 3 December 1997 @ K£61 236 pa”.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pension and gratuity computation carried out by the Respondent works out at a lump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485 407-80 and it is not in dispute that, if the Respondent’s pension was to be calculated on the new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salary scales, this figure is correct. The dispute is as regards the new salary. The Appellant who is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Pensions stated that she could not go by the new salary structure of the judicial officers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she was bound by the schedule to the Act as a result whereof she could only calculate the pension 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salary of a person employed in job group 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 terms and conditions of service for judicial officers and state law office were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separated from those of the civil service with effect from 1 January 1993 is not in dispute. That fact is set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the letter of 9 September 1994 addressed to the registrar of the High Court by the Director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Personnel Management who was also the Permanent Secretary to the Office of the President. In material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the letter reads: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“Please note that the judiciary and state law office separated from the terms and conditions of service for civil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servants with effect from 1 January 1993 and since then they have not been re-integrated in the civil service.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Consequent to the above, the terms and conditions of the two: judiciary/state law office and the civil service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be compared after the separation”.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Secretary to the Cabinet and the Head of Public Service as well as the Permanent Secretary to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of Finance were aware of the contents of the said letter of 9 September 1994.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an uncontroverted fact that the treasury budgeted for new salary scales applicable to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judiciary (as a whole) as summarized in the </w:t>
      </w:r>
      <w:proofErr w:type="gramStart"/>
      <w:r>
        <w:rPr>
          <w:rFonts w:ascii="Times New Roman" w:hAnsi="Times New Roman" w:cs="Times New Roman"/>
          <w:color w:val="000000"/>
        </w:rPr>
        <w:t>memorandum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 w:rsidR="0058537C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sent</w:t>
      </w:r>
      <w:proofErr w:type="gramEnd"/>
      <w:r>
        <w:rPr>
          <w:rFonts w:ascii="Times New Roman" w:hAnsi="Times New Roman" w:cs="Times New Roman"/>
          <w:color w:val="000000"/>
        </w:rPr>
        <w:t xml:space="preserve"> to the Permanent Secretary to the Cabinet and Head of the Public Service who is also the Permanent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Pecretary</w:t>
      </w:r>
      <w:proofErr w:type="spellEnd"/>
      <w:r>
        <w:rPr>
          <w:rFonts w:ascii="Times New Roman" w:hAnsi="Times New Roman" w:cs="Times New Roman"/>
          <w:color w:val="000000"/>
        </w:rPr>
        <w:t xml:space="preserve"> to the Office of the President. Such budgeting was for inclusion in the next budget as to be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 from 1 July 1995. This was contained in the letter dated 25 May 1995 addressed to the Chief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by the then secretary to the cabinet. The Ministry of Finance and Director of Personnel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were of course aware of this fact.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Despite the extra budgeting provided for by the Permanent Secretary, Ministry of Finance, when 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payment of the pension due to the Respondent, the Permanent Secretary to the Ministry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Finance made an about turn and pointed out in his letter dated 10 August 1998 addressed to Head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Service as follows, where material: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“Justice Majid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Cockar’s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claim documents were received in pensions department on 21 November 1997.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benefits were soon processed and a total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1 839 247-90 together with a monthly pension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22 990-60 was paid to him on 4 December 1997. The pension benefits of Justice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Cockar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calculated by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pensions department were consistent with the cabinet decision of 18 May 1998 (a copy of the cabinet minute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40/98 is attached herewith for ease of reference). The minute provides among other things that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retirement benefits of the officers of judicial service retiring prior to the declaration of service under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delinked judiciary as “public service” continue to be computed on the basis of salaries of comparable grades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civil service”.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is a curious statement. I fail to see how the </w:t>
      </w:r>
      <w:proofErr w:type="gramStart"/>
      <w:r>
        <w:rPr>
          <w:rFonts w:ascii="Times New Roman" w:hAnsi="Times New Roman" w:cs="Times New Roman"/>
          <w:color w:val="000000"/>
        </w:rPr>
        <w:t>pensions</w:t>
      </w:r>
      <w:proofErr w:type="gramEnd"/>
      <w:r>
        <w:rPr>
          <w:rFonts w:ascii="Times New Roman" w:hAnsi="Times New Roman" w:cs="Times New Roman"/>
          <w:color w:val="000000"/>
        </w:rPr>
        <w:t xml:space="preserve"> benefits as calculated in December 1997 could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consistent with a cabinet decision of 18 May 1998 for the simple reason that at the material time that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cabinet decision did not exist. I imagine that the </w:t>
      </w:r>
      <w:r>
        <w:rPr>
          <w:rFonts w:ascii="Times New Roman" w:hAnsi="Times New Roman" w:cs="Times New Roman"/>
          <w:i/>
          <w:iCs/>
          <w:color w:val="000000"/>
        </w:rPr>
        <w:t xml:space="preserve">volte face </w:t>
      </w:r>
      <w:r>
        <w:rPr>
          <w:rFonts w:ascii="Times New Roman" w:hAnsi="Times New Roman" w:cs="Times New Roman"/>
          <w:color w:val="000000"/>
        </w:rPr>
        <w:t>came about as a result the stand taken by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Pensions. I see no other reason.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therefore becomes incumbent upon me to examine carefully the stand taken by the Appellant. 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appropriate at this stage to point out that the Director of Pensions in the Ministry of Finance 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virtue of such position the principal </w:t>
      </w:r>
      <w:proofErr w:type="gramStart"/>
      <w:r>
        <w:rPr>
          <w:rFonts w:ascii="Times New Roman" w:hAnsi="Times New Roman" w:cs="Times New Roman"/>
          <w:color w:val="000000"/>
        </w:rPr>
        <w:t>pensions</w:t>
      </w:r>
      <w:proofErr w:type="gramEnd"/>
      <w:r>
        <w:rPr>
          <w:rFonts w:ascii="Times New Roman" w:hAnsi="Times New Roman" w:cs="Times New Roman"/>
          <w:color w:val="000000"/>
        </w:rPr>
        <w:t xml:space="preserve"> officer of the pensions division of the Treasury. Section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3(1) of the Act provides as follows: “Pensions, gratuities and other allowances may be granted by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Minister, in accordance with the Pensions Regulations, to the officers who have been in the service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government”.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given by section 3(1) of the Act to the Minister was delegated to the Director of Pensions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legal notice number 317 of 1974. The Appellant accepts the fact that the Respondent is a pensionable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within the meaning of the Act. The Appellant lays stress on the word “may” used in section 3(1)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 as well as in regulation 4 in the Regulations to the Act which provides: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the act and these Regulations, every officer holding a pensionable office in the service of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government, who has been in that service in a civil capacity for ten years or more, may be granted on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retirement a pension at the annual rate one five-hundredth of his pensionable emoluments for each complete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 of his pensionable service but no pension commencing after 1 July 1997 shall be less than sixty pounds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 annum”.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appeared for the Appellants stressed that the use of the word “may” in section 3(1)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 means that pension payment is at the discretion of the Minister and therefore Director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Pensions. I am afraid I cannot subscribe to that wide statement. True the use of the word “may” does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connote discretionary power in the Director of Pensions. But what happens when the proposed recipient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pension becomes by law entitled to that pension? If the Minister or the Director can withhold such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because of the use of the word “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  <w:r>
        <w:rPr>
          <w:rFonts w:ascii="Times New Roman" w:hAnsi="Times New Roman" w:cs="Times New Roman"/>
          <w:color w:val="000000"/>
        </w:rPr>
        <w:t>” the power to withhold the same becomes arbitrary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goes against the grain of common sense. Section 70 of the Constitution provides: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“70. Whereas every person in Kenya is entitled to the fundamental rights and freedoms of the individual,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is to say, the right, whatever his race, tribe, place of origin or residence or other local connection,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political opinions,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creed or sex, but subject to respect for the rights and freedoms of others and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public interest, to each and all of the following, namely–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rotection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privacy of his name and other property and from deprivation of property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compensation”.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Property includes choices in action, money, or pension. No person who is eligible for pension can be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deprived of his pension at the whim of the Director. Once pension becomes due, the Director has no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choice but to pay the pension. Here is where I disagree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urges that payment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is discretionary even when due.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said argument does not hold water when section 3(1) of the Act is read in conjunction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104(3) of the constitution. Statute law is of course subservient to the Constitution, section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104(3) whereof reads: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salary payable to the holder of an office to which this section applies (that is to constitutional office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holders) and his other terms of service (other than allowances that are not taken into account in computing,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any law in that behalf, any pension payable in respect of his service in that office) shall not be altered to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disadvantage after his appointment”.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itself therefore provides that the emoluments of a constitutional officer (other than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allowances that are not taken into account in computing pension) cannot be curtailed to his detriment. If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emoluments cannot be so curtailed the pension certainly cannot be curtailed.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conceded that any exercise of discretion by the Director must be judicious. I do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see how it would be judicious to compute pension on the basis of a job group that does not exist in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that judicial officer. It would, in my view, be an injudicious exercise of such “discretion”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indeed be an arbitrary exercise, if a non-applicable job group was used to calculate pension due to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pensionable officer.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Director’s argument, through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us, and in the superior court through her affidavit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made to look attractively simple. The argument was that unless the schedule to the Constitutional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Offices (Remuneration) Act, Chapter 423 is amended the Director cannot consider the </w:t>
      </w:r>
      <w:r>
        <w:rPr>
          <w:rFonts w:ascii="Times New Roman" w:hAnsi="Times New Roman" w:cs="Times New Roman"/>
          <w:color w:val="000000"/>
        </w:rPr>
        <w:lastRenderedPageBreak/>
        <w:t>actual salary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as opposed to the salary in job group T. I must point out at this stage that the Director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aware of the new job group of the Chief Justice (J3) and was also aware of the new salary scales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judicial officers. Despite that, shielding herself under the umbrella of Chapter 423, she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to ignore the new job group which action she justified by saying and arguing that unless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to the Act is amended she could only go by the one as it stands.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therefore falls for consideration is: If the Schedule to Chapter 423 is not updated by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does it affect the pension payable to the pensionable officer? In other words: can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by its inaction deprive a citizen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country of his rightful pension? I think not. This is because section 10 of the Act provides 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“10. A pension granted to an officer under this Act shall not exceed full pensionable emoluments drawn by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 at the date of his retirement”. Section 10 can clearly be interpreted to say that the pensionable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emoluments drawn by the officer at the time of his retirement are the ones upon which calculation of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pension ought to be made. Section 10 of the Act was brought in to amend the original section 10 of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by Act 7 of 1990. At this time the schedule to Chapter 423 as amended by Act 6 of 1986 was in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force. If, as is the case, despite the amendment to the Act there was no amendment to the schedule of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Chapter 423, the rights accruing to a pensioner cannot be abrogated and more so in the case of a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officer.”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3(5) of the Act however provides: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“(5)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pension or gratuity granted under this Act shall be computed in accordance with subsections (1),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and (3) of section 112 of the constitution”.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must be noted that this subsection mandates in no uncertain terms that the pension granted under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shall be as provided for in section 112(1), (2) and (3) of the Constitution. That being so the Director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duty bound (she has no discretion) to so compute the pension.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apart from the provisions of the Constitution and the statutes that I have considered I must revert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what I stated earlier in regard to the budgeting made by the Parliament for the new salary scales. Such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budgeting is done every year. In each financial year, vote R26 in the Appropriation Act caters for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funds for the judiciary. The Appellant cannot now be heard to say that despite such budgeting she can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go by way of job group salaries as per Chapter 423. When a government includes in its annual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budgets an enhanced sum for payment of new salaries it cannot say the said act was illegal.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cannot now be heard to say that as the Parliament did not gazette the new salaries or that as 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amend the schedule to Chapter 423, pension can be calculated only in terms of the schedule as 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stands.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an officer enters into the service of the judiciary, even if the employment is on permanent and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pensionable terms, the employment is in essence a contract between the government and the employee.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employee must upon retirement which qualifies him for receipt of pension, be paid his pension dues.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Robertson v Minister of Pensions </w:t>
      </w:r>
      <w:r>
        <w:rPr>
          <w:rFonts w:ascii="Times New Roman" w:hAnsi="Times New Roman" w:cs="Times New Roman"/>
          <w:color w:val="000000"/>
        </w:rPr>
        <w:t>[1948] 2 All ER 767, Denning J (as he then was) when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whether or not the Crown is bound by the assurances it gives said at 770: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next question is whether the assurance is binding on the Crown. The Crown cannot escape by saying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estoppel does not bind the Crown, for that doctrine has long exploded. Nor can the Crown escape by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praying in aid the doctrine of executive necessity.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i.e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 doctrine that Crown cannot bind itself so as to fetter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its future executive action. That doctrine was propounded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Rowlatt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J,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Rederiaktiebologet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Ampitrite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</w:t>
      </w:r>
      <w:r w:rsidR="0058537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[(1921) 3 KB 500], but it was unnecessary for the decision, because the statement there was not a promise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was intended to be binding but only an expression of intention.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Rowlatt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J, seems to be influenced by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cases on the right of the Crown to dismiss its servant at pleasure, but those cases can now be read in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light of the judgment of Lord Atkin ([1934] AC 179)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Reilly v R </w:t>
      </w:r>
      <w:r>
        <w:rPr>
          <w:rFonts w:ascii="Times New Roman" w:hAnsi="Times New Roman" w:cs="Times New Roman"/>
          <w:color w:val="000000"/>
          <w:sz w:val="20"/>
          <w:szCs w:val="20"/>
        </w:rPr>
        <w:t>[(1934) AC 176]. That judgment shows in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 to contracts of service, the Crown is bound by its express promise as much as any subject. The cases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it has been held entitled to dismiss at pleasure are based on implied term which cannot, of course, exist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where there is an express term dealing with the matter. In my opinion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executive necessity is of limited scope. It only avails the Crown where there is an implied term to that effect,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that is the true meaning of the contract. It has certainly no application to this case. The war office letter is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 and explicit and I see no reason for implying a term that the Crown is to be at liberty to revoke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at its pleasure and without cause”.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this case states in her replying affidavit, paragraph 34 as 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“34. That by reason of the matters set out in paragraph 32 of this affidavit I verily believe the salary scale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referred to in the Chief Justice’s letter of appointment is inconsistent with the express provision of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Offices (Remuneration) Act and as such irrelevant to the question of his salary in that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capacity for the purposes of calculating his pensionable emoluments in accordance with the Pensions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Regulations for the purposes of the Pension Act”.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statement on oath by the Appellant is amazing. She is saying that despite the salary of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having been increased by the government (and approved by the treasury), such salary cannot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taken into account in computing the pension. The government is bound by the salary scales it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approved for judicial officers. It </w:t>
      </w:r>
      <w:r>
        <w:rPr>
          <w:rFonts w:ascii="Times New Roman" w:hAnsi="Times New Roman" w:cs="Times New Roman"/>
          <w:color w:val="000000"/>
        </w:rPr>
        <w:lastRenderedPageBreak/>
        <w:t>cannot renege on that. The government cannot say now that it has made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provision for payment of pensions on the new salaries structure. There is no doubt at all that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salaries of judicial officers were increased after due consideration by the government and no responsible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the government can say that despite such increases pension can only be calculated on job group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scales which exist no more for such officers. It is no use saying that the salary drawn by the Respondent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in conformity with Chapter 423. To say that the enhanced part of the salary is not pensionable 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flying in face of regulation 20 of the Pensions Regulations contained in the First Schedule. It reads: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For the purpose of computing of the pension or gratuity of an officer who has had a period of not less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than three years, pensionable service before his retirement: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 n the case of officer who has held the same office for a period of three years immediately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preceeding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date of his retirement, the full annual pensionable emoluments enjoyed by him at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date in respect of the office shall be take.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 n the case of an officer who at any time during the period of three years has been transferred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one office to another, but whose pensionable emoluments have not been changed by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of the transfer or transfers, otherwise than by the grant of any salary increment, the full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annual pensionable emoluments enjoyed by him at the date of his retirement in respect of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 then held by him shall be taken”.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regulation then goes on to show how the pensionable emoluments are to be calculated.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for the last three years of his service, was first a Judge of Appeal and then the Chief Justice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Republic of Kenya so that he has had, clearly, to his credit a period of not less than three years’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pensionable service before his retirement.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20 of the Pension Regulations has the full force of the law by virtue of provision in section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3(4) of the Act which reads: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“(4) All regulations made under this section shall have the same force and effect as if they were contained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first schedule to the Act”.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can only mean that the Respondent was entitled to his pension based on his last salary by reason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wording of regulation 20(1) which provides that “the full emoluments enjoyed by him at that date in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that office shall be taken” (</w:t>
      </w:r>
      <w:proofErr w:type="spellStart"/>
      <w:r>
        <w:rPr>
          <w:rFonts w:ascii="Times New Roman" w:hAnsi="Times New Roman" w:cs="Times New Roman"/>
          <w:color w:val="000000"/>
        </w:rPr>
        <w:t>empasis</w:t>
      </w:r>
      <w:proofErr w:type="spellEnd"/>
      <w:r>
        <w:rPr>
          <w:rFonts w:ascii="Times New Roman" w:hAnsi="Times New Roman" w:cs="Times New Roman"/>
          <w:color w:val="000000"/>
        </w:rPr>
        <w:t xml:space="preserve"> mine). The Respondent’s salary for the last three years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service has been set 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 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stated elsewhere in this judgment.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 have said so far ought to conclude the fate of this appeal but there are more issues raised by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that need answering. The Appellant stated in response to the Respondent’s application in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in paragraph 11 of her first affidavit as 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“11. That since the ‘Establishment Circular number 51 of 6 December 1958’ was issued ‘enhanced salary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scales’ which is what the new terms of service for the judiciary amount to, were abolished. There is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no legal basis for making any pension payment outside the civil service salary scheme”.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Establishment Circular number 51 of 6 December 1958 only abolished “enhanced contract scales”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introduced in 1955. The Appellant has misunderstood and misapplied this circular. It has nothing to do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what a pensionable judicial officer earns to day. Regulation 21(2) to the Pensions Regulations says: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Any officer who was remunerated under any of the enhanced contract scales introduced in 1955 or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thereafter and abolished by Establishment Circular number 51 of the 6 December 1958 may at his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option (such option to be exercised within three months from the date upon which the officer is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admitted to the permanent and pensionable establishment or from the 4 September 1962, whichever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is the later, or on such other day as the president may in any particular case approve) repay to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a sum equal to the difference between the remuneration he actually received under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enhanced contract scale and the remuneration he would have received under the corresponding scale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relating to the permanent and pensionable establishment”.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need not say any more on this score. Regulation 21(2) and regulation 21(3) speak for themselves.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circular cannot affect what was done in 1993, namely, the delinking of the judiciary from the civil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offered gratuitous advice to the judiciary. She suggested the judiciary enters into a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superannuation pension scheme. The judiciary is part and parcel of the government of Kenya. It is the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arm of the government. It is not, like, say, the Kenya Revenue Authority, a statutory body. It is still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public service and must of course remain so. Judges’ salaries and emoluments are paid from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consolidated fund.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an important procedural point. He urged that in this particular case, an order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does not lie to remove into the High Court for the purposes of its being quashed a decision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the Appellant. He argued that the Learned Judge was in error in proceeding on the assumption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constitutional office holder can have the pension looked at otherwise than in accordance with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Chapter 423. He further argued that in any case prayer for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does not lie when an order for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lies. A passage 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11 was stressed to drive this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 home. The passage reads: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“119. Erroneous decision. Where the proceedings are regular upon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their face and the inferior tribunal had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jurisdiction, the superior court will not grant the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on the ground that the inferior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tribunal had misconceived a point of Law. When the inferior tribunal has jurisdiction to decide a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matter, it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(merely because it incidentally misconstrues a statute or admits illegal evidence, or rejects legal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evidence, or convicts without evidence) be deemed to exceed or abuse its jurisdiction. If however, an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administrative body comes to a decision which no reasonable body could have ever come to, it will be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deemed to have exceeded its jurisdiction, and the court can interfere”.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last part of the above passage is relevant here. The Director of Pensions, in my view, came to a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which is totally contrary to the spirit of the constitution, the Act and Chapter 423 as I have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already pointed out.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would certainly lie to quash her decision. I am however not too happy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first portion of the above passage. An inferior tribunal cannot act illegally by accepting, say,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 evidence. If it does so it must be subject to the discipline of the superior court. However, that is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besides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 point.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Minister of Health Ex parte Committee of Visitors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Glamorgan</w:t>
      </w:r>
      <w:proofErr w:type="spellEnd"/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Country Mental Hospital </w:t>
      </w:r>
      <w:r>
        <w:rPr>
          <w:rFonts w:ascii="Times New Roman" w:hAnsi="Times New Roman" w:cs="Times New Roman"/>
          <w:color w:val="000000"/>
        </w:rPr>
        <w:t xml:space="preserve">[1939] 1 KB 232 CA; [1938] 4 All ER 32 relied upon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Minister had not acted without jurisdiction, and, although his decision was in effect, construing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the Act of 1909 (Asylums Officers’ Superannuation Act), it could not be questioned by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grant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certiorari. </w:t>
      </w:r>
      <w:r>
        <w:rPr>
          <w:rFonts w:ascii="Times New Roman" w:hAnsi="Times New Roman" w:cs="Times New Roman"/>
          <w:color w:val="000000"/>
        </w:rPr>
        <w:t>In that case the proceedings were regular upon their face. There was no want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 The Appellant, in this case, however, declined and in fact refused to go by the Constitution,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and Chapter 423 to calculate the pension due to the Respondent. In my view she acted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unconstitutionally and illegally and in such a case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must go forth.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pointed out by this Court in the case of </w:t>
      </w:r>
      <w:r>
        <w:rPr>
          <w:rFonts w:ascii="Times New Roman" w:hAnsi="Times New Roman" w:cs="Times New Roman"/>
          <w:i/>
          <w:iCs/>
          <w:color w:val="000000"/>
        </w:rPr>
        <w:t>Kenya National Examination Council v Republic, ex</w:t>
      </w:r>
      <w:r w:rsidR="0058537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Geoffrey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Gathenji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appeal number 266 of 1986 (unreported) as follows: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“What do those principles mean? They mean that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will compel the performance of a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duty which is imposed on a person or a body of persons by a statute and where that person or body of persons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failed to perform the duty to the detriment of a party who has a legal right to expect the duty to be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performed”.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duty imposed on the Appellant was to calculate and pay to the Respondent the pensions he was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upon his retirement. Instead of doing that she went into realms of conjecture and arguments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absolutely no legal basis. It cannot be said that the Appellant had a right to decide totally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and if she did so she could not be questioned. It would create an impossible situation. The scope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remedies of judicial review has not diminished. It is being broadened. In recent years the trend is to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 </w:t>
      </w:r>
      <w:r>
        <w:rPr>
          <w:rFonts w:ascii="Times New Roman" w:hAnsi="Times New Roman" w:cs="Times New Roman"/>
          <w:i/>
          <w:iCs/>
          <w:color w:val="000000"/>
        </w:rPr>
        <w:t xml:space="preserve">ex facie </w:t>
      </w:r>
      <w:r>
        <w:rPr>
          <w:rFonts w:ascii="Times New Roman" w:hAnsi="Times New Roman" w:cs="Times New Roman"/>
          <w:color w:val="000000"/>
        </w:rPr>
        <w:t>wrong administrative decisions by judicial review or declaratory suits. Declaratory suits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preferable when damages are claimed.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Khimji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v Attorney-General </w:t>
      </w:r>
      <w:r>
        <w:rPr>
          <w:rFonts w:ascii="Times New Roman" w:hAnsi="Times New Roman" w:cs="Times New Roman"/>
          <w:color w:val="000000"/>
        </w:rPr>
        <w:t>[1972] EA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536. Law AVP said at 540: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High Court has power to quash a decision of a statutory tribunal for want or excess of jurisdiction,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breach of Rules of natural justice, error of law on the face of the record, fraud or collusion. In the case of a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by a statutory tribunal or person exercising judicial or quasi-judicial powers, as was the case here,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High Court is usually moved on an application for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mandamus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prohibition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certiorari</w:t>
      </w:r>
      <w:r>
        <w:rPr>
          <w:rFonts w:ascii="Times New Roman" w:hAnsi="Times New Roman" w:cs="Times New Roman"/>
          <w:color w:val="000000"/>
          <w:sz w:val="20"/>
          <w:szCs w:val="20"/>
        </w:rPr>
        <w:t>, as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 may be. In this case however, the Minister’s ‘final’ decision was challenged in a suit claiming,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declaration that the confiscation of the ‘pop caps’, the subject of this appeal, was wrongful, unlawful and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done without powers. I can see no objection to a suit for a declaration being instituted in preference to an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for the issue of an order in the nature of a prerogative writ, especially when (as in this case) the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is seeking additional relief by way of a claim for return the confiscated goods or, alternatively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damages”.</w:t>
      </w:r>
      <w:r w:rsidR="005853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What Law AVP said in regard to quashing of a decision by a person exercising quasi-judicial authority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concurred into by Spry AP in that case.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something to be said about the order of m</w:t>
      </w:r>
      <w:r>
        <w:rPr>
          <w:rFonts w:ascii="Times New Roman" w:hAnsi="Times New Roman" w:cs="Times New Roman"/>
          <w:i/>
          <w:iCs/>
          <w:color w:val="000000"/>
        </w:rPr>
        <w:t xml:space="preserve">andamus </w:t>
      </w:r>
      <w:r>
        <w:rPr>
          <w:rFonts w:ascii="Times New Roman" w:hAnsi="Times New Roman" w:cs="Times New Roman"/>
          <w:color w:val="000000"/>
        </w:rPr>
        <w:t>issued by the superior court. That court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have directed the Appellant to work out or calculate the pension due to the Respondent as laid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per the Constitution, the Act and Chapter 423. Instead it ordered her to pay the sum calculated 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due. Ideally the superior court should have ordered her to calculate the pension due to the Respondent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principles laid down in the constitution and the two Acts. But that which ought to be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must be done. As the sum of pension due to the Respondent, if proper law had been applied, was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dispute it would have been a futile exercise to ask her to recalculate the pension. Payment of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to a retiree is not a matter of fun and games.</w:t>
      </w:r>
      <w:r w:rsidR="005853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dismiss this appeal with costs.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JA concurred in the judgments of Shah JA.)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Mohammed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</w:p>
    <w:p w:rsidR="00B04A35" w:rsidRDefault="00B04A35" w:rsidP="00B0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For the </w:t>
      </w:r>
      <w:proofErr w:type="spellStart"/>
      <w:r>
        <w:rPr>
          <w:rFonts w:ascii="Times New Roman" w:hAnsi="Times New Roman" w:cs="Times New Roman"/>
          <w:color w:val="000000"/>
        </w:rPr>
        <w:t>Respodent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3F18BF" w:rsidRDefault="00B04A35" w:rsidP="00B04A35">
      <w:r>
        <w:rPr>
          <w:rFonts w:ascii="Times New Roman" w:hAnsi="Times New Roman" w:cs="Times New Roman"/>
          <w:i/>
          <w:iCs/>
          <w:color w:val="000000"/>
        </w:rPr>
        <w:t xml:space="preserve">G 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35"/>
    <w:rsid w:val="003F18BF"/>
    <w:rsid w:val="0058537C"/>
    <w:rsid w:val="00B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13A9-F509-4F21-9B91-43CC735A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6355</Words>
  <Characters>36228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2018-07-05T11:25:00Z</dcterms:created>
  <dcterms:modified xsi:type="dcterms:W3CDTF">2018-07-12T10:40:00Z</dcterms:modified>
</cp:coreProperties>
</file>