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Diversey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Lever East Africa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Mohanson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Food Distributors Ltd and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another</w:t>
      </w:r>
      <w:proofErr w:type="gramEnd"/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20 January 2004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1693/01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Mutungi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Execution – Attachment of motor vehicles subject of a debenture – Whether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debenture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holder can obtain stay by execution – Order XXI, rules 56 and 58 – Civil Procedure Rules.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Company – Debenture – Attachment of motor vehicles in execution – Motor vehicles subject of a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floating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charge created under a debenture – Receiver – No receiver appointed as at time of attachment –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Whether debenture had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crystallised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Whether debenture holder has priority over execution creditor if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receiver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not appointed at time of execution.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F3245" w:rsidRDefault="001D59B7" w:rsidP="001F32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obtained judgment in its favour against the First Defendant and proceeded to levy execution</w:t>
      </w:r>
      <w:r w:rsidR="001F32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attaching six motor vehicles belonging to the First Defendant. These motor vehicles were the subject</w:t>
      </w:r>
      <w:r w:rsidR="001F32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hire-purchase agreement between the First Defendant and Kenya Commercial Finance Company</w:t>
      </w:r>
      <w:r w:rsidR="001F32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and a floating debenture had been created over these motor vehicles in favour of Kenya</w:t>
      </w:r>
      <w:r w:rsidR="001F32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Commercial Bank Limited (the successor in title of Kenya Commercial Finance Company Limited).</w:t>
      </w:r>
      <w:r w:rsidR="001F32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Commercial Bank Limited brought objection proceedings seeking the lifting of the execution</w:t>
      </w:r>
      <w:r w:rsidR="001F32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Plaintiff’s motor vehicles on the strength of the debenture. It transpired that the execution was</w:t>
      </w:r>
      <w:r w:rsidR="001F32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levied before the Objector had appointed a receiver under the debenture.</w:t>
      </w:r>
      <w:r w:rsidR="001F3245">
        <w:rPr>
          <w:rFonts w:ascii="Times New Roman" w:hAnsi="Times New Roman" w:cs="Times New Roman"/>
          <w:color w:val="000000"/>
        </w:rPr>
        <w:t xml:space="preserve"> 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D59B7" w:rsidRPr="001F3245" w:rsidRDefault="001D59B7" w:rsidP="001F32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Where there was a floating charge over the movable property of an execution debtor created by a</w:t>
      </w:r>
      <w:r w:rsidR="001F32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debenture, the floating charge </w:t>
      </w:r>
      <w:proofErr w:type="spellStart"/>
      <w:r>
        <w:rPr>
          <w:rFonts w:ascii="Times New Roman" w:hAnsi="Times New Roman" w:cs="Times New Roman"/>
          <w:color w:val="000000"/>
        </w:rPr>
        <w:t>crystallised</w:t>
      </w:r>
      <w:proofErr w:type="spellEnd"/>
      <w:r>
        <w:rPr>
          <w:rFonts w:ascii="Times New Roman" w:hAnsi="Times New Roman" w:cs="Times New Roman"/>
          <w:color w:val="000000"/>
        </w:rPr>
        <w:t xml:space="preserve"> on the date of the appointment of the receiver. As no receiver</w:t>
      </w:r>
      <w:r w:rsidR="001F32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been appointed by the Objector in the present case, the debenture had not </w:t>
      </w:r>
      <w:proofErr w:type="spellStart"/>
      <w:r>
        <w:rPr>
          <w:rFonts w:ascii="Times New Roman" w:hAnsi="Times New Roman" w:cs="Times New Roman"/>
          <w:color w:val="000000"/>
        </w:rPr>
        <w:t>crystallised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1F32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before the appointment of a receiver by a debenture holder the machinery of execution by</w:t>
      </w:r>
      <w:r w:rsidR="001F32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attachment and sale has been put in motion by an execution creditor, then the execution creditor has</w:t>
      </w:r>
      <w:r w:rsidR="001F32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priority over the debenture holder whose charge has not yet </w:t>
      </w:r>
      <w:proofErr w:type="spellStart"/>
      <w:r>
        <w:rPr>
          <w:rFonts w:ascii="Times New Roman" w:hAnsi="Times New Roman" w:cs="Times New Roman"/>
          <w:color w:val="000000"/>
        </w:rPr>
        <w:t>crystallised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Kahagi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Kencity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Clothing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Limited </w:t>
      </w:r>
      <w:r>
        <w:rPr>
          <w:rFonts w:ascii="Times New Roman" w:hAnsi="Times New Roman" w:cs="Times New Roman"/>
          <w:color w:val="000000"/>
        </w:rPr>
        <w:t>[1982] KLR 464 applied).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ruling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D59B7" w:rsidRDefault="001D59B7" w:rsidP="001D5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Kahagi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Kencity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Clothing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Limited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[1982] KLR 464 – </w:t>
      </w:r>
      <w:r>
        <w:rPr>
          <w:rFonts w:ascii="Times New Roman" w:hAnsi="Times New Roman" w:cs="Times New Roman"/>
          <w:b/>
          <w:bCs/>
          <w:color w:val="000000"/>
        </w:rPr>
        <w:t>AP</w:t>
      </w:r>
      <w:bookmarkStart w:id="0" w:name="_GoBack"/>
      <w:bookmarkEnd w:id="0"/>
    </w:p>
    <w:sectPr w:rsidR="001D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B7"/>
    <w:rsid w:val="001D59B7"/>
    <w:rsid w:val="001F3245"/>
    <w:rsid w:val="0021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5922D-A627-4F5A-8371-95ECDAD4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2018-07-04T13:38:00Z</dcterms:created>
  <dcterms:modified xsi:type="dcterms:W3CDTF">2018-07-12T10:41:00Z</dcterms:modified>
</cp:coreProperties>
</file>