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Diversey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Lever East Africa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Mohanson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Food Distributors Ltd and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another</w:t>
      </w:r>
      <w:proofErr w:type="gramEnd"/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20 January 2004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1693/01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Mutungi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Execution – Attachment of motor vehicles subject of a debenture – Whether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debenture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holder can obtain stay by execution – Order XXI, rules 56 and 58 – Civil Procedure Rules.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Company – Debenture – Attachment of motor vehicles in execution – Motor vehicles subject of a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floating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charge created under a debenture – Receiver – No receiver appointed as at time of attachment –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Whether debenture had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crystallised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Whether debenture holder has priority over execution creditor if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receiver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not appointed at time of execution.</w:t>
      </w:r>
    </w:p>
    <w:p w:rsidR="00EE2C4F" w:rsidRDefault="000E5E74" w:rsidP="000E5E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0E5E74" w:rsidRDefault="00EE2C4F" w:rsidP="000E5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Mutungi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This is an application dated 16 July 2003, by way of a chamber summons, under Order XXI,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56 and 57 of the Civil Procedure Rules and section 3A of the Civil Procedure Act (Chapter 21),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of Kenya seeking orders that: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The attachment of the Defendants’ goods be lifted.</w:t>
      </w:r>
      <w:r w:rsidR="000E5E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osts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this application and the attachment be awarded to the Objector”.</w:t>
      </w:r>
      <w:r w:rsidR="000E5E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supported by an affidavit of one Paul Judo, the Relationship Manager of the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Objector/Applicant of even date.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from which these objection proceedings arise are briefly as follows.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18 March 2002, the Plaintiff obtained judgment on admission against the First Defendant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16 284 295</w:t>
      </w:r>
      <w:proofErr w:type="gramStart"/>
      <w:r>
        <w:rPr>
          <w:rFonts w:ascii="Times New Roman" w:hAnsi="Times New Roman" w:cs="Times New Roman"/>
          <w:color w:val="000000"/>
        </w:rPr>
        <w:t>,55</w:t>
      </w:r>
      <w:proofErr w:type="gramEnd"/>
      <w:r>
        <w:rPr>
          <w:rFonts w:ascii="Times New Roman" w:hAnsi="Times New Roman" w:cs="Times New Roman"/>
          <w:color w:val="000000"/>
        </w:rPr>
        <w:t xml:space="preserve"> plus costs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356 029 on 11 July 2002. The judgment debtor – First Defendant in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case – never paid the decretal amount and on 28 April 2003, this Court made an order for the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attachment of the First Defendant’s six motor vehicles, which attachment was done on 19 June 2003 by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Tip Top Auctioneers, in an effort to satisfy the above judgment and decree.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dispute that the vehicles belong to the judgment debtor. The vehicles, though, were on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hire-purchase agreements between the First Defendant/judgment debtor and Kenya Commercial Finance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Limited, and not the Objector/Kenya Commercial Bank Limited.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18.1 of each of the hire-purchase agreements, states that the hire-purchase agreements shall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automatically terminate upon a levy of execution against the hirer – the First Defendant – upon which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 the hirer’s liability is to pay its indebtedness to the owner – the Objector. In other words, the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Objector’s relief lies in a claim for the amount owed to it by the judgment debtor/First Defendant.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at the time of this application, no receiver had been appointed and the debenture has not,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accordingly, </w:t>
      </w:r>
      <w:proofErr w:type="spellStart"/>
      <w:r>
        <w:rPr>
          <w:rFonts w:ascii="Times New Roman" w:hAnsi="Times New Roman" w:cs="Times New Roman"/>
          <w:color w:val="000000"/>
        </w:rPr>
        <w:t>crystallised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Applicant/Objector’s case is simply that since it had a debenture in its favour over the goods of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judgment debtor, the attachment of the goods by the decree holder is bad in law, as the debenture has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priority over the rights of the executing judgment debtor.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decree holder – judgment creditor – holds the opposite view. The success or failure of the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Objector’s application revolves around this simple, but critical question of law: “Who has priority over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goods of a judgment debtor? The debenture holder, or the execution creditor (the decree holder in our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case?)”. Before answering the above question, the following needs to be kept in mind, if for nothing else,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reminder of the applicable law. First, the concept and import of a debenture.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debenture creates a floating charge over the assets of the execution debtor, and such floating charge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confers upon the debenture holder only equitable interest over the assets.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Further, where there is a floating charge over the movable property of an execution debtor (as is the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here) created by a debenture, the floating charge </w:t>
      </w:r>
      <w:proofErr w:type="spellStart"/>
      <w:r>
        <w:rPr>
          <w:rFonts w:ascii="Times New Roman" w:hAnsi="Times New Roman" w:cs="Times New Roman"/>
          <w:color w:val="000000"/>
        </w:rPr>
        <w:t>crystallises</w:t>
      </w:r>
      <w:proofErr w:type="spellEnd"/>
      <w:r>
        <w:rPr>
          <w:rFonts w:ascii="Times New Roman" w:hAnsi="Times New Roman" w:cs="Times New Roman"/>
          <w:color w:val="000000"/>
        </w:rPr>
        <w:t xml:space="preserve"> on the date of the appointment of the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receiver. As a matter of fact, and as stated earlier on, no receiver had been or has been appointed by the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debenture holder (the Objector) in this case, at least as at the time of filing this application. Should a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 have been appointed by the debenture holder after the execution by attachment complained of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been put in motion, the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 is very clear.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Kahagi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Kencity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Clothing Limited </w:t>
      </w:r>
      <w:r>
        <w:rPr>
          <w:rFonts w:ascii="Times New Roman" w:hAnsi="Times New Roman" w:cs="Times New Roman"/>
          <w:color w:val="000000"/>
        </w:rPr>
        <w:t>[1982] KLR 464, it was held, at 465: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before the appointment of a receiver by a debenture holder the machinery of execution by attachment and</w:t>
      </w:r>
      <w:r w:rsidR="000E5E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sale has been put in motion by an execution creditor, then the execution creditor has priority over the</w:t>
      </w:r>
      <w:r w:rsidR="000E5E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debenture holder whose charge has not yet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crystallised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0E5E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466 of the same authority, </w:t>
      </w:r>
      <w:r>
        <w:rPr>
          <w:rFonts w:ascii="Times New Roman" w:hAnsi="Times New Roman" w:cs="Times New Roman"/>
          <w:color w:val="000000"/>
        </w:rPr>
        <w:lastRenderedPageBreak/>
        <w:t>there is no doubt that the execution creditor’s interest in the attached goods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 priority, and that priority is not lost if a receiver is appointed before the attached goods are sold,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that the machinery of execution by attachment and sale preceded the appointment of the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above seems, in my view, to firmly seal the case in favour of the Plaintiff – execution creditor –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against the Applicant/Objector.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in all, therefore, the application fails and the Court holds that the Plaintiff/decree holder is entitled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attached goods.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hereby dismissed with costs to the Plaintiff and against the Objector/Applicant.</w:t>
      </w:r>
      <w:r w:rsidR="000E5E74">
        <w:rPr>
          <w:rFonts w:ascii="Times New Roman" w:hAnsi="Times New Roman" w:cs="Times New Roman"/>
          <w:color w:val="000000"/>
        </w:rPr>
        <w:t xml:space="preserve"> </w:t>
      </w:r>
    </w:p>
    <w:p w:rsidR="00EE2C4F" w:rsidRDefault="00EE2C4F" w:rsidP="000E5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Plaintiff:</w:t>
      </w:r>
      <w:r w:rsidR="000E5E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EE2C4F" w:rsidRDefault="00EE2C4F" w:rsidP="00EE2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EE2C4F" w:rsidP="00EE2C4F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4F"/>
    <w:rsid w:val="000E5E74"/>
    <w:rsid w:val="0021070D"/>
    <w:rsid w:val="00E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CEC54-59FA-4E10-95E0-444FE81B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2018-07-04T13:39:00Z</dcterms:created>
  <dcterms:modified xsi:type="dcterms:W3CDTF">2018-07-12T10:42:00Z</dcterms:modified>
</cp:coreProperties>
</file>