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872" w:rsidRDefault="00E70872" w:rsidP="00E70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Dogra v Barclays Bank</w:t>
      </w:r>
    </w:p>
    <w:p w:rsidR="00E70872" w:rsidRDefault="00E70872" w:rsidP="00E70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E70872" w:rsidRDefault="00E70872" w:rsidP="00E70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Date of judgment:</w:t>
      </w:r>
    </w:p>
    <w:p w:rsidR="00E70872" w:rsidRDefault="00E70872" w:rsidP="00E70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Date of judgment:</w:t>
      </w:r>
    </w:p>
    <w:p w:rsidR="00E70872" w:rsidRDefault="00E70872" w:rsidP="00E70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481/1965</w:t>
      </w:r>
    </w:p>
    <w:p w:rsidR="00E70872" w:rsidRDefault="00E70872" w:rsidP="00E70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Rudd J</w:t>
      </w:r>
    </w:p>
    <w:p w:rsidR="00E70872" w:rsidRDefault="00E70872" w:rsidP="00E70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E70872" w:rsidRDefault="00E70872" w:rsidP="00E70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Defamation – Libel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Cheque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 Refer to drawer – Words not defamatory.</w:t>
      </w:r>
    </w:p>
    <w:p w:rsidR="00E70872" w:rsidRDefault="00E70872" w:rsidP="00E70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Banking – Banker and customer – Negligence – Failure to credit account – Whether negligence.</w:t>
      </w:r>
    </w:p>
    <w:p w:rsidR="00E70872" w:rsidRDefault="00E70872" w:rsidP="00E70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Damages – Contract – Breach of – Failure by banker to credit customer’s account – Nominal</w:t>
      </w:r>
    </w:p>
    <w:p w:rsidR="00E70872" w:rsidRDefault="00E70872" w:rsidP="00E70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damages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E70872" w:rsidRDefault="00E70872" w:rsidP="00E70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E70872" w:rsidRDefault="00823E23" w:rsidP="00823E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E70872" w:rsidRDefault="00E70872" w:rsidP="00E70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Rudd J: </w:t>
      </w:r>
      <w:r>
        <w:rPr>
          <w:rFonts w:ascii="Times New Roman" w:hAnsi="Times New Roman" w:cs="Times New Roman"/>
          <w:color w:val="000000"/>
        </w:rPr>
        <w:t xml:space="preserve">The facts of this case are quite simple. The plaintiff’s name is </w:t>
      </w:r>
      <w:proofErr w:type="spellStart"/>
      <w:r>
        <w:rPr>
          <w:rFonts w:ascii="Times New Roman" w:hAnsi="Times New Roman" w:cs="Times New Roman"/>
          <w:color w:val="000000"/>
        </w:rPr>
        <w:t>Mohanjeet</w:t>
      </w:r>
      <w:proofErr w:type="spellEnd"/>
      <w:r>
        <w:rPr>
          <w:rFonts w:ascii="Times New Roman" w:hAnsi="Times New Roman" w:cs="Times New Roman"/>
          <w:color w:val="000000"/>
        </w:rPr>
        <w:t xml:space="preserve"> Singh Dogra. He is a</w:t>
      </w:r>
    </w:p>
    <w:p w:rsidR="00E70872" w:rsidRDefault="00E70872" w:rsidP="00823E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Sikh, which accounts for the name Singh and Dogra in his surname. </w:t>
      </w:r>
      <w:proofErr w:type="spellStart"/>
      <w:r>
        <w:rPr>
          <w:rFonts w:ascii="Times New Roman" w:hAnsi="Times New Roman" w:cs="Times New Roman"/>
          <w:color w:val="000000"/>
        </w:rPr>
        <w:t>Mohanjeet</w:t>
      </w:r>
      <w:proofErr w:type="spellEnd"/>
      <w:r>
        <w:rPr>
          <w:rFonts w:ascii="Times New Roman" w:hAnsi="Times New Roman" w:cs="Times New Roman"/>
          <w:color w:val="000000"/>
        </w:rPr>
        <w:t xml:space="preserve"> is his first name in a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similar sense to what is called a Christian name. Using one’s common sense and general knowledge, I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expect that amongst his family and people with whom he is on very familiar terms, he is familiarly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known as </w:t>
      </w:r>
      <w:proofErr w:type="spellStart"/>
      <w:r>
        <w:rPr>
          <w:rFonts w:ascii="Times New Roman" w:hAnsi="Times New Roman" w:cs="Times New Roman"/>
          <w:color w:val="000000"/>
        </w:rPr>
        <w:t>Mohanjeet</w:t>
      </w:r>
      <w:proofErr w:type="spellEnd"/>
      <w:r>
        <w:rPr>
          <w:rFonts w:ascii="Times New Roman" w:hAnsi="Times New Roman" w:cs="Times New Roman"/>
          <w:color w:val="000000"/>
        </w:rPr>
        <w:t xml:space="preserve">. Others could well call him </w:t>
      </w:r>
      <w:proofErr w:type="spellStart"/>
      <w:r>
        <w:rPr>
          <w:rFonts w:ascii="Times New Roman" w:hAnsi="Times New Roman" w:cs="Times New Roman"/>
          <w:color w:val="000000"/>
        </w:rPr>
        <w:t>Mohanjeet</w:t>
      </w:r>
      <w:proofErr w:type="spellEnd"/>
      <w:r>
        <w:rPr>
          <w:rFonts w:ascii="Times New Roman" w:hAnsi="Times New Roman" w:cs="Times New Roman"/>
          <w:color w:val="000000"/>
        </w:rPr>
        <w:t xml:space="preserve"> Singh, but his real proper name is </w:t>
      </w:r>
      <w:proofErr w:type="spellStart"/>
      <w:r>
        <w:rPr>
          <w:rFonts w:ascii="Times New Roman" w:hAnsi="Times New Roman" w:cs="Times New Roman"/>
          <w:color w:val="000000"/>
        </w:rPr>
        <w:t>Mohanjeet</w:t>
      </w:r>
      <w:proofErr w:type="spellEnd"/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Singh Dogra, which can be shortened by the use of initials to M. S. Dogra. Putting his surname first, as is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sometimes done for some purposes, he could be called Dogra, M. S. or Dogra, </w:t>
      </w:r>
      <w:proofErr w:type="spellStart"/>
      <w:r>
        <w:rPr>
          <w:rFonts w:ascii="Times New Roman" w:hAnsi="Times New Roman" w:cs="Times New Roman"/>
          <w:color w:val="000000"/>
        </w:rPr>
        <w:t>Mohanjeet</w:t>
      </w:r>
      <w:proofErr w:type="spellEnd"/>
      <w:r>
        <w:rPr>
          <w:rFonts w:ascii="Times New Roman" w:hAnsi="Times New Roman" w:cs="Times New Roman"/>
          <w:color w:val="000000"/>
        </w:rPr>
        <w:t xml:space="preserve"> Singh. But he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could never properly be called </w:t>
      </w:r>
      <w:proofErr w:type="spellStart"/>
      <w:r>
        <w:rPr>
          <w:rFonts w:ascii="Times New Roman" w:hAnsi="Times New Roman" w:cs="Times New Roman"/>
          <w:color w:val="000000"/>
        </w:rPr>
        <w:t>Mohanjeet</w:t>
      </w:r>
      <w:proofErr w:type="spellEnd"/>
      <w:r>
        <w:rPr>
          <w:rFonts w:ascii="Times New Roman" w:hAnsi="Times New Roman" w:cs="Times New Roman"/>
          <w:color w:val="000000"/>
        </w:rPr>
        <w:t>, S. D.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had a current account with the Government Road, Nairobi Branch of the defendant bank in the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name of </w:t>
      </w:r>
      <w:proofErr w:type="spellStart"/>
      <w:r>
        <w:rPr>
          <w:rFonts w:ascii="Times New Roman" w:hAnsi="Times New Roman" w:cs="Times New Roman"/>
          <w:color w:val="000000"/>
        </w:rPr>
        <w:t>Mohanjeet</w:t>
      </w:r>
      <w:proofErr w:type="spellEnd"/>
      <w:r>
        <w:rPr>
          <w:rFonts w:ascii="Times New Roman" w:hAnsi="Times New Roman" w:cs="Times New Roman"/>
          <w:color w:val="000000"/>
        </w:rPr>
        <w:t xml:space="preserve"> Singh Dogra, or, putting the surname first as is done on the specimen signature card,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Dogra </w:t>
      </w:r>
      <w:proofErr w:type="spellStart"/>
      <w:r>
        <w:rPr>
          <w:rFonts w:ascii="Times New Roman" w:hAnsi="Times New Roman" w:cs="Times New Roman"/>
          <w:color w:val="000000"/>
        </w:rPr>
        <w:t>Mohanjeet</w:t>
      </w:r>
      <w:proofErr w:type="spellEnd"/>
      <w:r>
        <w:rPr>
          <w:rFonts w:ascii="Times New Roman" w:hAnsi="Times New Roman" w:cs="Times New Roman"/>
          <w:color w:val="000000"/>
        </w:rPr>
        <w:t xml:space="preserve"> Singh and the specimen signature is M. S. Dogra.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is and was employed by the Kenya Police and on his instructions his salary was to be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paid by his employers into his current account at the bank towards the end of each calendar month. For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 unexplained reason, his employers used to instruct the bank to credit his account under the name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Mohanjeet</w:t>
      </w:r>
      <w:proofErr w:type="spellEnd"/>
      <w:r>
        <w:rPr>
          <w:rFonts w:ascii="Times New Roman" w:hAnsi="Times New Roman" w:cs="Times New Roman"/>
          <w:color w:val="000000"/>
        </w:rPr>
        <w:t>, S. D.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procedure followed was for th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e police accountant to make out a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in favour of the particular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branch bank for the total amount of the salaries of the police employees which were to be paid into that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branch bank and to send the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to the branch with a list setting out the names of the said employees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amounts that were to be credited to their accounts at the branch bank.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receipt of these documents a bank official would enter the amount to be credited on the particular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police employee’s permanent voucher card. This card would then go to the ledger section for the entry to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pasted in the employees account.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According to past practice, the plaintiff’s voucher card was kept in the name of </w:t>
      </w:r>
      <w:proofErr w:type="spellStart"/>
      <w:r>
        <w:rPr>
          <w:rFonts w:ascii="Times New Roman" w:hAnsi="Times New Roman" w:cs="Times New Roman"/>
          <w:color w:val="000000"/>
        </w:rPr>
        <w:t>Mohanjeet</w:t>
      </w:r>
      <w:proofErr w:type="spellEnd"/>
      <w:r>
        <w:rPr>
          <w:rFonts w:ascii="Times New Roman" w:hAnsi="Times New Roman" w:cs="Times New Roman"/>
          <w:color w:val="000000"/>
        </w:rPr>
        <w:t>, S. D.,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which was the name as stated in the list sent to the bank with the police salary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>. The plaintiff’s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ledger account was kept in the name of </w:t>
      </w:r>
      <w:proofErr w:type="spellStart"/>
      <w:r>
        <w:rPr>
          <w:rFonts w:ascii="Times New Roman" w:hAnsi="Times New Roman" w:cs="Times New Roman"/>
          <w:color w:val="000000"/>
        </w:rPr>
        <w:t>Mohanjeet</w:t>
      </w:r>
      <w:proofErr w:type="spellEnd"/>
      <w:r>
        <w:rPr>
          <w:rFonts w:ascii="Times New Roman" w:hAnsi="Times New Roman" w:cs="Times New Roman"/>
          <w:color w:val="000000"/>
        </w:rPr>
        <w:t xml:space="preserve"> Singh Dogra.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addition to his monthly salary, other credits were entered in the plaintiff’s bank account on foot of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lodgments made casually from time to time by the plaintiff personally. Such lodgments were made in the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name of </w:t>
      </w:r>
      <w:proofErr w:type="spellStart"/>
      <w:r>
        <w:rPr>
          <w:rFonts w:ascii="Times New Roman" w:hAnsi="Times New Roman" w:cs="Times New Roman"/>
          <w:color w:val="000000"/>
        </w:rPr>
        <w:t>Mohanjeet</w:t>
      </w:r>
      <w:proofErr w:type="spellEnd"/>
      <w:r>
        <w:rPr>
          <w:rFonts w:ascii="Times New Roman" w:hAnsi="Times New Roman" w:cs="Times New Roman"/>
          <w:color w:val="000000"/>
        </w:rPr>
        <w:t xml:space="preserve"> Singh Dogra or M. S. Dogra.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spite of the difference between the name in which plaintiff’s bank account was kept and the name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which his salary was remitted to the bank all payments of his salary up to the end of December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1964 were credited in his current account. Clearly someone connected with the ledger department knew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 was able to deduce that salary paid by the police for </w:t>
      </w:r>
      <w:proofErr w:type="spellStart"/>
      <w:r>
        <w:rPr>
          <w:rFonts w:ascii="Times New Roman" w:hAnsi="Times New Roman" w:cs="Times New Roman"/>
          <w:color w:val="000000"/>
        </w:rPr>
        <w:t>Mohanjeet</w:t>
      </w:r>
      <w:proofErr w:type="spellEnd"/>
      <w:r>
        <w:rPr>
          <w:rFonts w:ascii="Times New Roman" w:hAnsi="Times New Roman" w:cs="Times New Roman"/>
          <w:color w:val="000000"/>
        </w:rPr>
        <w:t xml:space="preserve"> S. D. should be credited to the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plaintiff’s account. I think that the person with that knowledge must have been the person whom Mr.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DeSilva</w:t>
      </w:r>
      <w:proofErr w:type="spellEnd"/>
      <w:r>
        <w:rPr>
          <w:rFonts w:ascii="Times New Roman" w:hAnsi="Times New Roman" w:cs="Times New Roman"/>
          <w:color w:val="000000"/>
        </w:rPr>
        <w:t xml:space="preserve"> replaced in January 1965.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After the police salary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was received towards the end of January 1965, the permanent voucher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card in the name of </w:t>
      </w:r>
      <w:proofErr w:type="spellStart"/>
      <w:r>
        <w:rPr>
          <w:rFonts w:ascii="Times New Roman" w:hAnsi="Times New Roman" w:cs="Times New Roman"/>
          <w:color w:val="000000"/>
        </w:rPr>
        <w:t>Mohanjeet</w:t>
      </w:r>
      <w:proofErr w:type="spellEnd"/>
      <w:r>
        <w:rPr>
          <w:rFonts w:ascii="Times New Roman" w:hAnsi="Times New Roman" w:cs="Times New Roman"/>
          <w:color w:val="000000"/>
        </w:rPr>
        <w:t xml:space="preserve"> S. D. came to Mr. </w:t>
      </w:r>
      <w:proofErr w:type="spellStart"/>
      <w:r>
        <w:rPr>
          <w:rFonts w:ascii="Times New Roman" w:hAnsi="Times New Roman" w:cs="Times New Roman"/>
          <w:color w:val="000000"/>
        </w:rPr>
        <w:t>DeSilva</w:t>
      </w:r>
      <w:proofErr w:type="spellEnd"/>
      <w:r>
        <w:rPr>
          <w:rFonts w:ascii="Times New Roman" w:hAnsi="Times New Roman" w:cs="Times New Roman"/>
          <w:color w:val="000000"/>
        </w:rPr>
        <w:t xml:space="preserve"> who could not trace the proper account in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which the credit should be posted. </w:t>
      </w:r>
      <w:proofErr w:type="spellStart"/>
      <w:r>
        <w:rPr>
          <w:rFonts w:ascii="Times New Roman" w:hAnsi="Times New Roman" w:cs="Times New Roman"/>
          <w:color w:val="000000"/>
        </w:rPr>
        <w:t>DeSilva</w:t>
      </w:r>
      <w:proofErr w:type="spellEnd"/>
      <w:r>
        <w:rPr>
          <w:rFonts w:ascii="Times New Roman" w:hAnsi="Times New Roman" w:cs="Times New Roman"/>
          <w:color w:val="000000"/>
        </w:rPr>
        <w:t xml:space="preserve"> placed this credit in a suspense account and made enquiries of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police which were not immediately successful. Towards the end of January 1965, the plaintiff, in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anticipation of his account being credited with his salary for January 1965, made out two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 xml:space="preserve"> dated 1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February 1965, one for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200/- in favour of Kenya Esso Service and the other for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250/- in favour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Mr. R. K. Joshi.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Unless the plaintiff’s account was credited with his January salary, there was not enough credit in his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account to allow either of these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 xml:space="preserve"> to be paid. On the other hand if his </w:t>
      </w:r>
      <w:r>
        <w:rPr>
          <w:rFonts w:ascii="Times New Roman" w:hAnsi="Times New Roman" w:cs="Times New Roman"/>
          <w:color w:val="000000"/>
        </w:rPr>
        <w:lastRenderedPageBreak/>
        <w:t>January salary had been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credited in the account there would have been ample credit for the payment of both these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>. Since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January salary was not credited at that time both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 xml:space="preserve"> were </w:t>
      </w:r>
      <w:proofErr w:type="spellStart"/>
      <w:r>
        <w:rPr>
          <w:rFonts w:ascii="Times New Roman" w:hAnsi="Times New Roman" w:cs="Times New Roman"/>
          <w:color w:val="000000"/>
        </w:rPr>
        <w:t>dishonoured</w:t>
      </w:r>
      <w:proofErr w:type="spellEnd"/>
      <w:r>
        <w:rPr>
          <w:rFonts w:ascii="Times New Roman" w:hAnsi="Times New Roman" w:cs="Times New Roman"/>
          <w:color w:val="000000"/>
        </w:rPr>
        <w:t xml:space="preserve"> on presentment and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marked ‘refer to drawer”. The </w:t>
      </w:r>
      <w:proofErr w:type="spellStart"/>
      <w:r>
        <w:rPr>
          <w:rFonts w:ascii="Times New Roman" w:hAnsi="Times New Roman" w:cs="Times New Roman"/>
          <w:color w:val="000000"/>
        </w:rPr>
        <w:t>dishonour</w:t>
      </w:r>
      <w:proofErr w:type="spellEnd"/>
      <w:r>
        <w:rPr>
          <w:rFonts w:ascii="Times New Roman" w:hAnsi="Times New Roman" w:cs="Times New Roman"/>
          <w:color w:val="000000"/>
        </w:rPr>
        <w:t xml:space="preserve"> of Mr. Joshi’s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was published to Mr. Joshi and to </w:t>
      </w:r>
      <w:proofErr w:type="spellStart"/>
      <w:r>
        <w:rPr>
          <w:rFonts w:ascii="Times New Roman" w:hAnsi="Times New Roman" w:cs="Times New Roman"/>
          <w:color w:val="000000"/>
        </w:rPr>
        <w:t>Santok</w:t>
      </w:r>
      <w:proofErr w:type="spellEnd"/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Singh </w:t>
      </w:r>
      <w:proofErr w:type="spellStart"/>
      <w:r>
        <w:rPr>
          <w:rFonts w:ascii="Times New Roman" w:hAnsi="Times New Roman" w:cs="Times New Roman"/>
          <w:color w:val="000000"/>
        </w:rPr>
        <w:t>Assi</w:t>
      </w:r>
      <w:proofErr w:type="spellEnd"/>
      <w:r>
        <w:rPr>
          <w:rFonts w:ascii="Times New Roman" w:hAnsi="Times New Roman" w:cs="Times New Roman"/>
          <w:color w:val="000000"/>
        </w:rPr>
        <w:t xml:space="preserve">, the </w:t>
      </w:r>
      <w:proofErr w:type="spellStart"/>
      <w:r>
        <w:rPr>
          <w:rFonts w:ascii="Times New Roman" w:hAnsi="Times New Roman" w:cs="Times New Roman"/>
          <w:color w:val="000000"/>
        </w:rPr>
        <w:t>dishonour</w:t>
      </w:r>
      <w:proofErr w:type="spellEnd"/>
      <w:r>
        <w:rPr>
          <w:rFonts w:ascii="Times New Roman" w:hAnsi="Times New Roman" w:cs="Times New Roman"/>
          <w:color w:val="000000"/>
        </w:rPr>
        <w:t xml:space="preserve"> of the other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was published to Mr. R.C. Patel, then the manager of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 Esso Service.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When the plaintiff discovered that these two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 xml:space="preserve"> had been </w:t>
      </w:r>
      <w:proofErr w:type="spellStart"/>
      <w:r>
        <w:rPr>
          <w:rFonts w:ascii="Times New Roman" w:hAnsi="Times New Roman" w:cs="Times New Roman"/>
          <w:color w:val="000000"/>
        </w:rPr>
        <w:t>dishonoured</w:t>
      </w:r>
      <w:proofErr w:type="spellEnd"/>
      <w:r>
        <w:rPr>
          <w:rFonts w:ascii="Times New Roman" w:hAnsi="Times New Roman" w:cs="Times New Roman"/>
          <w:color w:val="000000"/>
        </w:rPr>
        <w:t xml:space="preserve"> he made enquiries and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discovered the reason. He saw the sub-manager of the branch bank and his account was credited with his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January salary. He also saw </w:t>
      </w:r>
      <w:proofErr w:type="spellStart"/>
      <w:r>
        <w:rPr>
          <w:rFonts w:ascii="Times New Roman" w:hAnsi="Times New Roman" w:cs="Times New Roman"/>
          <w:color w:val="000000"/>
        </w:rPr>
        <w:t>Santok</w:t>
      </w:r>
      <w:proofErr w:type="spellEnd"/>
      <w:r>
        <w:rPr>
          <w:rFonts w:ascii="Times New Roman" w:hAnsi="Times New Roman" w:cs="Times New Roman"/>
          <w:color w:val="000000"/>
        </w:rPr>
        <w:t xml:space="preserve"> Singh </w:t>
      </w:r>
      <w:proofErr w:type="spellStart"/>
      <w:r>
        <w:rPr>
          <w:rFonts w:ascii="Times New Roman" w:hAnsi="Times New Roman" w:cs="Times New Roman"/>
          <w:color w:val="000000"/>
        </w:rPr>
        <w:t>Assi</w:t>
      </w:r>
      <w:proofErr w:type="spellEnd"/>
      <w:r>
        <w:rPr>
          <w:rFonts w:ascii="Times New Roman" w:hAnsi="Times New Roman" w:cs="Times New Roman"/>
          <w:color w:val="000000"/>
        </w:rPr>
        <w:t xml:space="preserve"> and Mr. Patel to each of whom he explained what had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happened and each accepted his explanation. He drew two fresh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 xml:space="preserve"> in place of the </w:t>
      </w:r>
      <w:proofErr w:type="spellStart"/>
      <w:r>
        <w:rPr>
          <w:rFonts w:ascii="Times New Roman" w:hAnsi="Times New Roman" w:cs="Times New Roman"/>
          <w:color w:val="000000"/>
        </w:rPr>
        <w:t>dishonoured</w:t>
      </w:r>
      <w:proofErr w:type="spellEnd"/>
      <w:r w:rsidR="00823E2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 xml:space="preserve"> and gave Mr. </w:t>
      </w:r>
      <w:proofErr w:type="spellStart"/>
      <w:r>
        <w:rPr>
          <w:rFonts w:ascii="Times New Roman" w:hAnsi="Times New Roman" w:cs="Times New Roman"/>
          <w:color w:val="000000"/>
        </w:rPr>
        <w:t>Assi</w:t>
      </w:r>
      <w:proofErr w:type="spellEnd"/>
      <w:r>
        <w:rPr>
          <w:rFonts w:ascii="Times New Roman" w:hAnsi="Times New Roman" w:cs="Times New Roman"/>
          <w:color w:val="000000"/>
        </w:rPr>
        <w:t xml:space="preserve"> the one for Mr. Joshi and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Patel the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for Kenya Esso Service getting back the two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 xml:space="preserve"> which had been </w:t>
      </w:r>
      <w:proofErr w:type="spellStart"/>
      <w:r>
        <w:rPr>
          <w:rFonts w:ascii="Times New Roman" w:hAnsi="Times New Roman" w:cs="Times New Roman"/>
          <w:color w:val="000000"/>
        </w:rPr>
        <w:t>dishonoured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special damage has been pleaded and the only special damage in fact was the loss of the two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replacement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>. No other damage was proved except the inconvenience of having to go to the bank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get his account straightened out and the trouble of going to see and explain the position to Mr. </w:t>
      </w:r>
      <w:proofErr w:type="spellStart"/>
      <w:r>
        <w:rPr>
          <w:rFonts w:ascii="Times New Roman" w:hAnsi="Times New Roman" w:cs="Times New Roman"/>
          <w:color w:val="000000"/>
        </w:rPr>
        <w:t>Assi</w:t>
      </w:r>
      <w:proofErr w:type="spellEnd"/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to Mr. Patel. His explanations were accepted and I do not consider that his credit was materially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adversely affected.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sues the bank for damages for breach of contract and for libel. Two innuendos were pleaded of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the second was withdrawn at the trial. The first innuendo alleged that by the words “refer to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drawer”, the defendant “meant and was understood to mean and imported to any who read them placed in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situation that the plaintiff has drawn a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upon account which it knew or ought to have known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not in credit to the amount of that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and he was unable to pay the amount of the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meant to a reasonable being that it was unsafe to give credit to him”.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my opinion that innuendo has not been proved. The gravamen of it has not been proved. When a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banker </w:t>
      </w:r>
      <w:proofErr w:type="spellStart"/>
      <w:r>
        <w:rPr>
          <w:rFonts w:ascii="Times New Roman" w:hAnsi="Times New Roman" w:cs="Times New Roman"/>
          <w:color w:val="000000"/>
        </w:rPr>
        <w:t>dishonours</w:t>
      </w:r>
      <w:proofErr w:type="spellEnd"/>
      <w:r>
        <w:rPr>
          <w:rFonts w:ascii="Times New Roman" w:hAnsi="Times New Roman" w:cs="Times New Roman"/>
          <w:color w:val="000000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and marks on it “refer to drawer”, he is indicating that the bank will not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honour</w:t>
      </w:r>
      <w:proofErr w:type="spellEnd"/>
      <w:r>
        <w:rPr>
          <w:rFonts w:ascii="Times New Roman" w:hAnsi="Times New Roman" w:cs="Times New Roman"/>
          <w:color w:val="000000"/>
        </w:rPr>
        <w:t xml:space="preserve"> the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on the instant presentment and that the person who presented it and other persons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concerned should get in contact with the person who made the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for any explanation required or in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to decide his further course of action. This procedure is usually adopted when the amount of credit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facilities arranged in respect of the particular account are not sufficient to enable the bank to pay the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at the time when the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was presented for payment. Such an endorsement does not indicate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reason why the account was insufficient to enable the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to be paid. It does not indicate whether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 not the maker of the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ought to have known that the account and facilities were not sufficient to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enable the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to be met and it relates only to the instant presentment of the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words were not published in any sort of </w:t>
      </w:r>
      <w:proofErr w:type="spellStart"/>
      <w:r>
        <w:rPr>
          <w:rFonts w:ascii="Times New Roman" w:hAnsi="Times New Roman" w:cs="Times New Roman"/>
          <w:color w:val="000000"/>
        </w:rPr>
        <w:t>connexion</w:t>
      </w:r>
      <w:proofErr w:type="spellEnd"/>
      <w:r>
        <w:rPr>
          <w:rFonts w:ascii="Times New Roman" w:hAnsi="Times New Roman" w:cs="Times New Roman"/>
          <w:color w:val="000000"/>
        </w:rPr>
        <w:t xml:space="preserve"> or relation with the plaintiff’s profession,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trade or calling as a police officer and nothing is pleaded as to any such </w:t>
      </w:r>
      <w:proofErr w:type="spellStart"/>
      <w:r>
        <w:rPr>
          <w:rFonts w:ascii="Times New Roman" w:hAnsi="Times New Roman" w:cs="Times New Roman"/>
          <w:color w:val="000000"/>
        </w:rPr>
        <w:t>connexion</w:t>
      </w:r>
      <w:proofErr w:type="spellEnd"/>
      <w:r>
        <w:rPr>
          <w:rFonts w:ascii="Times New Roman" w:hAnsi="Times New Roman" w:cs="Times New Roman"/>
          <w:color w:val="000000"/>
        </w:rPr>
        <w:t xml:space="preserve"> or relation. If they are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be held to be </w:t>
      </w:r>
      <w:proofErr w:type="spellStart"/>
      <w:r>
        <w:rPr>
          <w:rFonts w:ascii="Times New Roman" w:hAnsi="Times New Roman" w:cs="Times New Roman"/>
          <w:color w:val="000000"/>
        </w:rPr>
        <w:t>libellous</w:t>
      </w:r>
      <w:proofErr w:type="spellEnd"/>
      <w:r>
        <w:rPr>
          <w:rFonts w:ascii="Times New Roman" w:hAnsi="Times New Roman" w:cs="Times New Roman"/>
          <w:color w:val="000000"/>
        </w:rPr>
        <w:t>, it must be shown that in the circumstances of the publication they subjected the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to hatred, ridicule or contempt.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my opinion these words do not subject the plaintiff necessarily to hatred, ridicule or contempt.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do not indicate that there may not have been some reasonable, perfectly satisfactory and completely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innocent explanation as regards the plaintiff’s conduct as is the case in these two particular instances and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 doubt in many other instances where those words are put on a </w:t>
      </w:r>
      <w:proofErr w:type="spellStart"/>
      <w:r>
        <w:rPr>
          <w:rFonts w:ascii="Times New Roman" w:hAnsi="Times New Roman" w:cs="Times New Roman"/>
          <w:color w:val="000000"/>
        </w:rPr>
        <w:t>dishonoured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>. In my view the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action insofar as it is based on libel must fail.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regards the claim on the basis of breach of contract, it was argued for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that on the basis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pleaded the contract to credit the account was only as between the bank and the plaintiff’s employers and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there was no breach of any contract between the bank and the plaintiff and no claim laid on the basis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negligence.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think that argument is an oversimplification of the matter. I think that in the contract of banker and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customer as between the plaintiff and the defendant there was necessarily an implied term that the bank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be reasonably diligent and efficient in keeping the account, in applying to it all proper credits and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honouring</w:t>
      </w:r>
      <w:proofErr w:type="spellEnd"/>
      <w:r>
        <w:rPr>
          <w:rFonts w:ascii="Times New Roman" w:hAnsi="Times New Roman" w:cs="Times New Roman"/>
          <w:color w:val="000000"/>
        </w:rPr>
        <w:t xml:space="preserve"> all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 xml:space="preserve"> drawn on the account when it was in sufficient credit.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If the bank was negligent in failing to give the plaintiff’s account its proper credit then I think that the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could succeed on the basis of breach of contract.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face of the facts, in this case, the instruction to the bank from the police to credit the plaintiff’s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 with the amount of his salary in respect of January 1965 did not correctly state the proper name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plaintiff or the proper name under which his account was kept by the bank.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there being genuine doubt as to the particular account to which this money was to be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credited, it would be proper to place the money in a suspense account while enquiries were being made.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is what was done, but in the circumstances of this case some further consideration is necessary in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view of the fact that for some considerable time before </w:t>
      </w:r>
      <w:r>
        <w:rPr>
          <w:rFonts w:ascii="Times New Roman" w:hAnsi="Times New Roman" w:cs="Times New Roman"/>
          <w:color w:val="000000"/>
        </w:rPr>
        <w:lastRenderedPageBreak/>
        <w:t>the end of January 1965 credits were duly and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properly made in the plaintiff’s account on the same form of instructions as was used in </w:t>
      </w:r>
      <w:proofErr w:type="spellStart"/>
      <w:r>
        <w:rPr>
          <w:rFonts w:ascii="Times New Roman" w:hAnsi="Times New Roman" w:cs="Times New Roman"/>
          <w:color w:val="000000"/>
        </w:rPr>
        <w:t>connexion</w:t>
      </w:r>
      <w:proofErr w:type="spellEnd"/>
      <w:r>
        <w:rPr>
          <w:rFonts w:ascii="Times New Roman" w:hAnsi="Times New Roman" w:cs="Times New Roman"/>
          <w:color w:val="000000"/>
        </w:rPr>
        <w:t xml:space="preserve"> with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salary for January 1965.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onus of proving a breach of contract lies firmly on the plaintiffs. It has been proved in the case of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previous salary credits, someone then dealing with the matter at the bank knew or was able to deduce that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credits were to be posted in the plaintiff’s account. The question then is does that fact necessarily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imply that someone in the bank dealing with this particular credit ought to have known that the credit was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go into the plaintiff’s account?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is in my view a question of fact and the answer must depend on the circumstances. In the case of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previous credits there is nothing to indicate how it was known or discovered that they were to go into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plaintiff’s account. It occurs to me that if one had the sort of mind which delights in solving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conundrums one could possibly arrive at the solution in this way. The suffix “</w:t>
      </w:r>
      <w:proofErr w:type="spellStart"/>
      <w:r>
        <w:rPr>
          <w:rFonts w:ascii="Times New Roman" w:hAnsi="Times New Roman" w:cs="Times New Roman"/>
          <w:color w:val="000000"/>
        </w:rPr>
        <w:t>jit</w:t>
      </w:r>
      <w:proofErr w:type="spellEnd"/>
      <w:r>
        <w:rPr>
          <w:rFonts w:ascii="Times New Roman" w:hAnsi="Times New Roman" w:cs="Times New Roman"/>
          <w:color w:val="000000"/>
        </w:rPr>
        <w:t>” or “</w:t>
      </w:r>
      <w:proofErr w:type="spellStart"/>
      <w:r>
        <w:rPr>
          <w:rFonts w:ascii="Times New Roman" w:hAnsi="Times New Roman" w:cs="Times New Roman"/>
          <w:color w:val="000000"/>
        </w:rPr>
        <w:t>jeet</w:t>
      </w:r>
      <w:proofErr w:type="spellEnd"/>
      <w:r>
        <w:rPr>
          <w:rFonts w:ascii="Times New Roman" w:hAnsi="Times New Roman" w:cs="Times New Roman"/>
          <w:color w:val="000000"/>
        </w:rPr>
        <w:t>” in the name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Mohanjeet</w:t>
      </w:r>
      <w:proofErr w:type="spellEnd"/>
      <w:r>
        <w:rPr>
          <w:rFonts w:ascii="Times New Roman" w:hAnsi="Times New Roman" w:cs="Times New Roman"/>
          <w:color w:val="000000"/>
        </w:rPr>
        <w:t xml:space="preserve"> sometimes, and I think most often, occurs among </w:t>
      </w:r>
      <w:proofErr w:type="spellStart"/>
      <w:r>
        <w:rPr>
          <w:rFonts w:ascii="Times New Roman" w:hAnsi="Times New Roman" w:cs="Times New Roman"/>
          <w:color w:val="000000"/>
        </w:rPr>
        <w:t>Sihks</w:t>
      </w:r>
      <w:proofErr w:type="spellEnd"/>
      <w:r>
        <w:rPr>
          <w:rFonts w:ascii="Times New Roman" w:hAnsi="Times New Roman" w:cs="Times New Roman"/>
          <w:color w:val="000000"/>
        </w:rPr>
        <w:t xml:space="preserve">, therefore </w:t>
      </w:r>
      <w:proofErr w:type="spellStart"/>
      <w:r>
        <w:rPr>
          <w:rFonts w:ascii="Times New Roman" w:hAnsi="Times New Roman" w:cs="Times New Roman"/>
          <w:color w:val="000000"/>
        </w:rPr>
        <w:t>Mohanjeet</w:t>
      </w:r>
      <w:proofErr w:type="spellEnd"/>
      <w:r>
        <w:rPr>
          <w:rFonts w:ascii="Times New Roman" w:hAnsi="Times New Roman" w:cs="Times New Roman"/>
          <w:color w:val="000000"/>
        </w:rPr>
        <w:t xml:space="preserve"> was probably a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Sikh. The initial S would then stand for Singh, and the initial D would be the first letter of his surname.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Reference to the ledger accounts under the initial D could then lead to the plaintiff’s account in the name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</w:t>
      </w:r>
      <w:proofErr w:type="spellStart"/>
      <w:r>
        <w:rPr>
          <w:rFonts w:ascii="Times New Roman" w:hAnsi="Times New Roman" w:cs="Times New Roman"/>
          <w:color w:val="000000"/>
        </w:rPr>
        <w:t>Mohanjeet</w:t>
      </w:r>
      <w:proofErr w:type="spellEnd"/>
      <w:r>
        <w:rPr>
          <w:rFonts w:ascii="Times New Roman" w:hAnsi="Times New Roman" w:cs="Times New Roman"/>
          <w:color w:val="000000"/>
        </w:rPr>
        <w:t xml:space="preserve"> Singh Dogra who was employed by the police. I do not know if some such process of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thought led to the identification in the case of the previous credits for salary. If so I think the person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concerned could be congratulated on his powers of deduction, but I do not think that the bank was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necessarily bound to employ a man with knowledge that the suffix “</w:t>
      </w:r>
      <w:proofErr w:type="spellStart"/>
      <w:r>
        <w:rPr>
          <w:rFonts w:ascii="Times New Roman" w:hAnsi="Times New Roman" w:cs="Times New Roman"/>
          <w:color w:val="000000"/>
        </w:rPr>
        <w:t>jit</w:t>
      </w:r>
      <w:proofErr w:type="spellEnd"/>
      <w:r>
        <w:rPr>
          <w:rFonts w:ascii="Times New Roman" w:hAnsi="Times New Roman" w:cs="Times New Roman"/>
          <w:color w:val="000000"/>
        </w:rPr>
        <w:t>” or “</w:t>
      </w:r>
      <w:proofErr w:type="spellStart"/>
      <w:r>
        <w:rPr>
          <w:rFonts w:ascii="Times New Roman" w:hAnsi="Times New Roman" w:cs="Times New Roman"/>
          <w:color w:val="000000"/>
        </w:rPr>
        <w:t>jeet</w:t>
      </w:r>
      <w:proofErr w:type="spellEnd"/>
      <w:r>
        <w:rPr>
          <w:rFonts w:ascii="Times New Roman" w:hAnsi="Times New Roman" w:cs="Times New Roman"/>
          <w:color w:val="000000"/>
        </w:rPr>
        <w:t>” probably indicated a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Sikh, in order that proper credits should be given to the plaintiff’s account without further enquiry. Nor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 I think that from the fact that an employee of the bank dealing with earlier transactions happened to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know or discover that the credits were to go to the plaintiff, it necessarily follows that other employees of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bank dealing with a later credit should necessarily have the same knowledge or be able to deduce it.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is a matter which depends on circumstances, and in the present case I do not think that the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establish negligence or breach of contract to the plaintiff on the part of the bank. I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dismiss the suit with costs. If I had found for the plaintiff either on the basis of libel or of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breach of contract or both, I would have assessed the total damages at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100/- and given judgment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 with costs on the subordinate court scale, but for the reasons given I dismiss the suit with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costs.</w:t>
      </w:r>
      <w:r w:rsidR="00823E2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Order accordingly.</w:t>
      </w:r>
    </w:p>
    <w:p w:rsidR="00E70872" w:rsidRDefault="00E70872" w:rsidP="00E70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plaintiff:</w:t>
      </w:r>
    </w:p>
    <w:p w:rsidR="00E70872" w:rsidRDefault="00E70872" w:rsidP="00E70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BC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Syal</w:t>
      </w:r>
      <w:proofErr w:type="spellEnd"/>
    </w:p>
    <w:p w:rsidR="00E70872" w:rsidRDefault="00E70872" w:rsidP="00E70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defendant:</w:t>
      </w:r>
    </w:p>
    <w:p w:rsidR="00E70872" w:rsidRDefault="00E70872" w:rsidP="00E708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Couldrey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>Kaplan &amp; Stratton</w:t>
      </w:r>
      <w:r>
        <w:rPr>
          <w:rFonts w:ascii="Times New Roman" w:hAnsi="Times New Roman" w:cs="Times New Roman"/>
          <w:color w:val="000000"/>
        </w:rPr>
        <w:t>, Nairobi)</w:t>
      </w:r>
    </w:p>
    <w:p w:rsidR="00E43AAB" w:rsidRDefault="00E43AAB"/>
    <w:sectPr w:rsidR="00E43AAB" w:rsidSect="00FE6E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872"/>
    <w:rsid w:val="00823E23"/>
    <w:rsid w:val="00E43AAB"/>
    <w:rsid w:val="00E7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81C35-E3DA-475A-BF8F-5618160E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1869</Words>
  <Characters>10655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2018-07-06T12:55:00Z</dcterms:created>
  <dcterms:modified xsi:type="dcterms:W3CDTF">2018-07-12T10:46:00Z</dcterms:modified>
</cp:coreProperties>
</file>