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Dubai Bank Kenya Ltd v Come-Cons Africa Ltd</w:t>
      </w:r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15 June 2004</w:t>
      </w:r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68/03</w:t>
      </w:r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Ibrahim J</w:t>
      </w:r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Affidavits – Failure to endorse name of advocate who drew affidavit – Whether such</w:t>
      </w:r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failure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is fatally defective or an irregularity in form – Sections 34 and 35 – Advocates Act (Chapter 16).</w:t>
      </w:r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10BF0" w:rsidRDefault="000A0AF7" w:rsidP="001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plaintiff filed an application seeking summary judgment for a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29 498 862-50. The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filed a replying affidavit in opposition to the application and took out a notice of preliminary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objection. At the hearing of the application the defendant raised the objection that the verifying affidavit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sworn on 10 February 2003 was incurably defective on the grounds that it did not comply with the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mandatory provisions of section 35(1) as read together with section 34 of the Advocates Act. The person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drew or prepared or caused to be drawn or prepared the said verifying affidavit did not endorse or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to be endorsed on the affidavit his name and address or the name and address of the firm of which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a partner or was employed. The defendant therefore urged that the affidavit be struck out and the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dismissed. The plaintiff opposed the objection arguing that the failure or omission to endorse the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drawer’s name on the document goes to form and not the substance.</w:t>
      </w:r>
      <w:r w:rsidR="00110BF0">
        <w:rPr>
          <w:rFonts w:ascii="Times New Roman" w:hAnsi="Times New Roman" w:cs="Times New Roman"/>
          <w:color w:val="000000"/>
        </w:rPr>
        <w:t xml:space="preserve"> </w:t>
      </w:r>
    </w:p>
    <w:p w:rsidR="00110BF0" w:rsidRDefault="00110BF0" w:rsidP="001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A0AF7" w:rsidRDefault="000A0AF7" w:rsidP="00110B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34 of the Advocates Act provides for the situation where an unqualified person prepared certain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documents or instruments. An affidavit was a document relating to “any other legal proceedings” and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covered under section 34(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 of the Advocates Act. The verifying affidavit was drawn by a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qualified person and therefore no offence had been committed under section 34 of the Act. However, the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who drew the affidavit had committed an offence under section 35(1) of the Act and the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cannot be punished for the offences of his advocates.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35(1) does not state or express anything about the effect, consequence or validity of a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or instrument which does not bear the name and address of the advocate who drew it whereas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35(2) does not invalidate or declare such a document or instrument in question to be defective. In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premises, the omission of advocates name and address on the verifying affidavit was a mere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irregularity in form.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overruled.</w:t>
      </w:r>
      <w:r w:rsidR="00110BF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ruling</w:t>
      </w:r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A0AF7" w:rsidRDefault="000A0AF7" w:rsidP="000A0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E97396" w:rsidRDefault="000A0AF7" w:rsidP="000A0AF7">
      <w:r>
        <w:rPr>
          <w:rFonts w:ascii="Times New Roman" w:hAnsi="Times New Roman" w:cs="Times New Roman"/>
          <w:i/>
          <w:iCs/>
          <w:color w:val="000000"/>
        </w:rPr>
        <w:t xml:space="preserve">Barclays Bank of Kenya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High Court civil case number 1736 of 2001 – </w:t>
      </w:r>
      <w:r>
        <w:rPr>
          <w:rFonts w:ascii="Times New Roman" w:hAnsi="Times New Roman" w:cs="Times New Roman"/>
          <w:b/>
          <w:bCs/>
          <w:color w:val="000000"/>
        </w:rPr>
        <w:t>DA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F7"/>
    <w:rsid w:val="000A0AF7"/>
    <w:rsid w:val="00110BF0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C6E13-5759-4152-B8BF-A1656456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2018-07-03T13:34:00Z</dcterms:created>
  <dcterms:modified xsi:type="dcterms:W3CDTF">2018-07-12T10:50:00Z</dcterms:modified>
</cp:coreProperties>
</file>