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74" w:rsidRDefault="00253874" w:rsidP="00253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Dubai Bank Kenya Ltd v Come-Cons Africa Ltd</w:t>
      </w:r>
    </w:p>
    <w:p w:rsidR="00253874" w:rsidRDefault="00253874" w:rsidP="00253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253874" w:rsidRDefault="00253874" w:rsidP="00253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15 June 2004</w:t>
      </w:r>
    </w:p>
    <w:p w:rsidR="00253874" w:rsidRDefault="00253874" w:rsidP="00253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68/03</w:t>
      </w:r>
    </w:p>
    <w:p w:rsidR="00253874" w:rsidRDefault="00253874" w:rsidP="00253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Ibrahim J</w:t>
      </w:r>
    </w:p>
    <w:p w:rsidR="00253874" w:rsidRDefault="00253874" w:rsidP="00253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53874" w:rsidRDefault="00253874" w:rsidP="00253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253874" w:rsidRDefault="00253874" w:rsidP="00253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Affidavits – Failure to endorse name of advocate who drew affidavit – Whether such</w:t>
      </w:r>
    </w:p>
    <w:p w:rsidR="00253874" w:rsidRDefault="00253874" w:rsidP="00253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failure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 fatally defective or an irregularity in form – Sections 34 and 35 – Advocates Act (Chapter 16).</w:t>
      </w:r>
    </w:p>
    <w:p w:rsidR="00253874" w:rsidRDefault="00160F40" w:rsidP="00160F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253874" w:rsidRDefault="00253874" w:rsidP="00160F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IBRAHIM J: </w:t>
      </w:r>
      <w:r>
        <w:rPr>
          <w:rFonts w:ascii="Times New Roman" w:hAnsi="Times New Roman" w:cs="Times New Roman"/>
          <w:color w:val="000000"/>
        </w:rPr>
        <w:t>The plaintiff on 23 October 2003 filed an application by way of a notice of motion under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XXXV, rule 1, 2 and 3 for summary judgment to be entered against the defendant for a sum of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29 498 862-50, interest and costs. The defendant filed a replying affidavit in opposition to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and also took out a notice of preliminary objections of law. There were four points of law in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said notice, however, at the hearing of the application the defendant’s counsel,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Wandabwa</w:t>
      </w:r>
      <w:proofErr w:type="spellEnd"/>
      <w:r w:rsidR="00160F4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prosecuted and argued one objection only, namely: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the verifying affidavit sworn on 10 February 2003 is incurably defective on the grounds that it does not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comply with the mandatory provisions of section 35(1) as read together with section 34 of the Advocates Act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(Chapter 16), Laws of Kenya and should be struck out”.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perused the said verifying affidavit and confirmed that the person who drew or prepared or caused to be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drawn or prepared the said verifying affidavit did not endorse or cause to be endorsed on the affidavit his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 and address or the name and address of the firm of which he is a partner or is employed.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35(1) of the Advocates Act reads as follows: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“35(1) Every person who draws or prepares, or causes to be drawn or prepared, any document or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instruments referred to in section 34(1) shall at the same time endorse or cause to be endorsed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thereon his name and address, or the name and address of the firm of which he is a partner and any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omitting so to do shall be guilty of an offence and liable to a fine not exceeding five thousand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case of an unqualified person or a fine not exceeding five hundred shillings in case of an advocate: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that, in the case of any document or instrument drawn, prepared or engrossed by a person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employed, and whilst acting within the scope of his employment, by an advocate or by a firm of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advocates, the name and address to be endorsed thereon shall be the name and address of such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advocate or firm”.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contends that as the verifying affidavit does not conform to this mandatory requirement,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is defective and irregular and should be struck out. Consequently, the defendant urges the Court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strike out the plaint as it cannot stand without the verifying affidavit. The defendant referred to a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recent decision of this Court in </w:t>
      </w:r>
      <w:r>
        <w:rPr>
          <w:rFonts w:ascii="Times New Roman" w:hAnsi="Times New Roman" w:cs="Times New Roman"/>
          <w:i/>
          <w:iCs/>
          <w:color w:val="000000"/>
        </w:rPr>
        <w:t xml:space="preserve">Barclays Bank of Kenya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Solomon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Otieno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which Justice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Njagi</w:t>
      </w:r>
      <w:proofErr w:type="spellEnd"/>
      <w:r>
        <w:rPr>
          <w:rFonts w:ascii="Times New Roman" w:hAnsi="Times New Roman" w:cs="Times New Roman"/>
          <w:color w:val="000000"/>
        </w:rPr>
        <w:t xml:space="preserve"> High Court civil case number 1736 of 2001 held as follows: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“Section 34(1) itself prohibits any unqualified person from drawing or preparing any document or instrument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... ‘relating to any other legal proceedings’. An affidavit is a document relating to legal proceedings. It should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 comply with the requirements of section 35(1) as the endorsement with the name and address of the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drawer.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was not done in this case and, to that extent, the affidavit falls foul of section 35(1). Both subsections (1)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(2) of section 35 are couched in mandatory terms. Subsection (1) takes such serious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cognisance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any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omission to obey the dictates of the subsection that 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criminalises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such omission. In its turn,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subsection (2) takes the issue so equally seriously that it enjoins the Registrar not to accept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 or instrument referred to in section 34(1) unless if it is endorsed in accordance with this section.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 has led the way by demonstrating the gravity with which it views matters under subsection 34 and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35 of the Act. The least we can do is to emulate Parliament by treating these sections with the seriousness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deserve and obey them in observance”.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Judge proceeded to strike out the application which was supported by an affidavit without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aforesaid endorsement.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response the plaintiff says that the failure or omission to endorse the drawer’s name on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goes to form and not the substance. The plaintiff’s counsel invites the Court to invoke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Orders XVIII, rule 7 and treat the said omission as a mere irregularity as to form and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capable of being cured. He said that section 34 and 35 of the Advocates Act deals with unqualified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persons who purport to draw documents. That it is a penal section that is intended to punish offenders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purport to draw legal documents when they are not qualified as advocates.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very carefully read section 35(1) read together with section 34 of the Advocates Act.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preamble of the Advocate’s Act states that it is “an Act of Parliament to amend and consolidate the law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advocates”. Part VIII of the Act under which sections 34 and 35 fall is headed: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“Provisions with respect to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unqualified persons acting as advocates and offences by advocates”.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or section under Part VIII of the Act deal with the acts or things which cannot be done by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unqualified person and which are the reserve of qualified persons as advocates. The offences and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penalties in this regard are prescribed. The offences and penalties for advocates are also prescribed in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part.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34 provides against unqualified person preparing certain documents or instruments.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stipulates,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as follows: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“34(1) No unqualified person shall, either directly or indirectly, take instructions or draw or prepare any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 or instrument: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relating to the conveyance of property; or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for, or in relation to, the formation of any limited liability company, whether private or public,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for, or in relation to, an agreement of partnership or the dissolution therefore; or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for the purpose of filing or opposing a grant of probate or letters of administration; or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for which a fee is prescribed by any order made by the Chief Justice under section 44; or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relating to any other legal proceedings</w:t>
      </w:r>
      <w:r>
        <w:rPr>
          <w:rFonts w:ascii="Times New Roman" w:hAnsi="Times New Roman" w:cs="Times New Roman"/>
          <w:color w:val="000000"/>
          <w:sz w:val="20"/>
          <w:szCs w:val="20"/>
        </w:rPr>
        <w:t>. Nor shall any such person accept or receive, directly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indirectly any fee, gain or reward for the taxing of any such instruction or for the drawing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preparation of any such document or instrument.”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added)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deliberately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subsection 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 which refers to preparation of any document or instrument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any other legal proceedings. I do agree with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Njagi</w:t>
      </w:r>
      <w:proofErr w:type="spellEnd"/>
      <w:r>
        <w:rPr>
          <w:rFonts w:ascii="Times New Roman" w:hAnsi="Times New Roman" w:cs="Times New Roman"/>
          <w:color w:val="000000"/>
        </w:rPr>
        <w:t xml:space="preserve"> J in the aforementioned case that an affidavit is one such document or instrument.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 have now to ask myself even for exclusionary purposes is, was the verifying affidavit in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case drawn or prepared by or were instructions taken by “an unqualified” person and therefore an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committed? There has been no allegation or suggestion that the verifying affidavit was drawn or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prepared by a </w:t>
      </w:r>
      <w:proofErr w:type="spellStart"/>
      <w:r>
        <w:rPr>
          <w:rFonts w:ascii="Times New Roman" w:hAnsi="Times New Roman" w:cs="Times New Roman"/>
          <w:color w:val="000000"/>
        </w:rPr>
        <w:t>non advocate</w:t>
      </w:r>
      <w:proofErr w:type="spellEnd"/>
      <w:r>
        <w:rPr>
          <w:rFonts w:ascii="Times New Roman" w:hAnsi="Times New Roman" w:cs="Times New Roman"/>
          <w:color w:val="000000"/>
        </w:rPr>
        <w:t>. Apart from the endorsement of the name and address of the drawer, this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looks quite in order in all other respects. It was made and sworn before a Commissioner of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Oaths. When I perused the plaint which it accompanies, the same is drawn and filed by a firm of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advocates, called “Mohamed and </w:t>
      </w:r>
      <w:proofErr w:type="spellStart"/>
      <w:r>
        <w:rPr>
          <w:rFonts w:ascii="Times New Roman" w:hAnsi="Times New Roman" w:cs="Times New Roman"/>
          <w:color w:val="000000"/>
        </w:rPr>
        <w:t>Lethome</w:t>
      </w:r>
      <w:proofErr w:type="spellEnd"/>
      <w:r>
        <w:rPr>
          <w:rFonts w:ascii="Times New Roman" w:hAnsi="Times New Roman" w:cs="Times New Roman"/>
          <w:color w:val="000000"/>
        </w:rPr>
        <w:t xml:space="preserve"> Advocates. The said firm prepared and drew the plaint and I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justified to conclude that indeed the verifying affidavit was drawn by a qualified person or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advocate. So strictly, no offence has been committed under the provisions of section 34. However,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advocate failed and omitted to endorse their firm’s name and address on the verifying affidavit to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it was drawn by a qualified person.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said advocate or firm of advocates were to be arraigned in court for commission of an offence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35(1), without prejudice to his right of presumption of innocence until proven guilty, there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all likelihood that he would be found guilty of the said position and ordered to pay a fine not exceeding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500.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this make the plaintiff herein also guilty of the said omission? The answer is certainly, no.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did not draw or prepare the verifying affidavit, it is the advocate who presented the plaint for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filing and who drew the same. The plaintiff is therefore an innocent party and cannot be punished for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 of his advocates under the provisions of the Advocates Act.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foregoing, the question that naturally follows is whether the aforesaid omission or failure by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advocates to endorse their name and address on the verifying affidavit make it incurably defective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provisions of section 35(1)?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much respect to the decisions of this Court that I have been referred to, I am of the view that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provision does not state or express anything about the effect, or consequences or validity of a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or instrument which does not bear the name and address of the advocate who drew it.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a reading of the said decisions, it would appear that section 35(2) may have influenced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minds of the Court in finding that an affidavit with such an omission is fatally defective and incapable of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cured.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provision stipulates: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The Registrar, the Registrar of Titles, the Principal Registrar of Companies and any other registering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authority shall refuse to accept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document or instrument referred to in section 34(1)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unless such document or instrument is endorsed in accordance with this section”.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said provision forbids the Registrar (in this case of the Court) from accepting or </w:t>
      </w:r>
      <w:proofErr w:type="spellStart"/>
      <w:r>
        <w:rPr>
          <w:rFonts w:ascii="Times New Roman" w:hAnsi="Times New Roman" w:cs="Times New Roman"/>
          <w:color w:val="000000"/>
        </w:rPr>
        <w:t>recognising</w:t>
      </w:r>
      <w:proofErr w:type="spellEnd"/>
      <w:r>
        <w:rPr>
          <w:rFonts w:ascii="Times New Roman" w:hAnsi="Times New Roman" w:cs="Times New Roman"/>
          <w:color w:val="000000"/>
        </w:rPr>
        <w:t xml:space="preserve"> any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or instrument in any legal proceedings unless such a document or instrument is endorsed in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accordance with section 35(1) of the Advocates Act. This means that the Court registry through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of the Registrar could have rejected the filing of the plaint which is accompanied by such an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with the aforesaid omission. In fact strictly the Registrar was required to refuse to accept or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the said plaint as long as it was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accompanied by the said affidavit. If the Registrar applied and implemented the letter of the law then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plaint would certainly not have been filed in court to commence this suit.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Unfortunately, the Court registry did not reject the offending verifying affidavit with or without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and this suit was commenced.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should view this situation </w:t>
      </w:r>
      <w:r>
        <w:rPr>
          <w:rFonts w:ascii="Times New Roman" w:hAnsi="Times New Roman" w:cs="Times New Roman"/>
          <w:i/>
          <w:iCs/>
          <w:color w:val="000000"/>
        </w:rPr>
        <w:t xml:space="preserve">vis-à-vis </w:t>
      </w:r>
      <w:r>
        <w:rPr>
          <w:rFonts w:ascii="Times New Roman" w:hAnsi="Times New Roman" w:cs="Times New Roman"/>
          <w:color w:val="000000"/>
        </w:rPr>
        <w:t>the provisions in section 35(2). In my view from a simple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reading of the words in the said provision, I am unable to come to any conclusion that the said subsection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invalidates or </w:t>
      </w:r>
      <w:r>
        <w:rPr>
          <w:rFonts w:ascii="Times New Roman" w:hAnsi="Times New Roman" w:cs="Times New Roman"/>
          <w:color w:val="000000"/>
        </w:rPr>
        <w:lastRenderedPageBreak/>
        <w:t>declares such a document or instrument in question to be defective.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course the document should not have been filed in court. It should have been rejected at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counter, so to speak. However, it has not been filed and this suit commenced. Yes, an offence was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 by the said omission, yes, the Registrar failed to enforce the provisions of section 35(2) by not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rejecting or refusing the filing thereof. Is the verifying affidavit in the circumstances incurably defective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should be struck out? Again, with much respect, I do hold that there is no word, statement or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stipulation in section 35(1) and (2) that renders an instrument or document with the omission of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endorsement of the name and address of the advocate who drew or prepared, incurably invalid, void or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defective. I do accept that the verifying affidavit in its form has omitted a very necessary feature which is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expressly stipulated by the law, an Act of Parliament. From a reading of section 34 and 35, the said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made in violation of the law is defective. It should not have been allowed to be filed in the first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 in order to ensure that section 35(2) is applied effectively and effectually to remedy the mischief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by the legislature. It is my opinion that the purpose for which section 35(2) was intended was to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discourage or put an end to situations where unqualified persons prepare legal documents in legal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 By making it mandatory that the instruments on legal proceedings are endorsed with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 and address of the drawer, this would make it impossible for an unqualified person to present such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at the registries and if he did then the law would take its course that is he would be known and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caught.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it is usually stated Parliament is taken to do nothing without reason. In a commentary in </w:t>
      </w:r>
      <w:r>
        <w:rPr>
          <w:rFonts w:ascii="Times New Roman" w:hAnsi="Times New Roman" w:cs="Times New Roman"/>
          <w:i/>
          <w:iCs/>
          <w:color w:val="000000"/>
        </w:rPr>
        <w:t>Francis</w:t>
      </w:r>
      <w:r w:rsidR="00160F4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Bennion’s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i/>
          <w:iCs/>
          <w:color w:val="000000"/>
        </w:rPr>
        <w:t>statutory interpretation</w:t>
      </w:r>
      <w:r>
        <w:rPr>
          <w:rFonts w:ascii="Times New Roman" w:hAnsi="Times New Roman" w:cs="Times New Roman"/>
          <w:color w:val="000000"/>
        </w:rPr>
        <w:t xml:space="preserve">”, (3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) and with reference to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Heydon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it is stated at 725.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presumed that Parliament intended by the enactment to suppress the mischief. The law usually does this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ordering those who perpetrate the mischief to desist; and imposing a penalty if they fail. Once the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interpreter has correctly marked out the area of mischief intended to be dealt with by the enactment, he or she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 go on to identify the corresponding penalty or remedy. It is further presumed that Parliament did not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intend to apply coercive measures going wider than was necessary to remedy the mischief in question”.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another part are the following words: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“... The Court must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endeavour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insure that the remedy provided by Parliament does not set up some other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mischief. Clearly Parliament is unlikely to intend to abolish one mischief at the cost of establishing another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is just as bad, or even worse”.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wish to adopt some of these thoughts and principles. In this case, I would like to look at the social and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mischief intended to be remedied by section 35(2). The intention of his law was intended to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enhance section 34 so that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no unqualified person was to either directly or indirectly practice law and this was to be done only by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duly enrolled Advocates of the High Court of Kenya.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think that the intention of Parliament was to punish innocent litigants or deny or hinder them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access to justice. In this case, the plaintiff a tax payer is permitted by the Registrar of the Court to file its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 and pay a whooping sum of over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70 000 as filing fees. The document is defective in form but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Registrar does not do his duty by rejecting it before filing and incurring of the said amount in filing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fees. The plaintiff is not the drawer of the document, his advocate is. The omission is by the advocate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it retained. The failure or inaction to reject the document at the registry was the Registrar of this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very court.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why should the innocent plaintiff and litigant suffer by having its plaint thrown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 for this </w:t>
      </w:r>
      <w:proofErr w:type="gramStart"/>
      <w:r>
        <w:rPr>
          <w:rFonts w:ascii="Times New Roman" w:hAnsi="Times New Roman" w:cs="Times New Roman"/>
          <w:color w:val="000000"/>
        </w:rPr>
        <w:t>omission.</w:t>
      </w:r>
      <w:proofErr w:type="gramEnd"/>
      <w:r>
        <w:rPr>
          <w:rFonts w:ascii="Times New Roman" w:hAnsi="Times New Roman" w:cs="Times New Roman"/>
          <w:color w:val="000000"/>
        </w:rPr>
        <w:t xml:space="preserve"> He is not the intended unqualified person, he is not the advocate or the Registrar.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section was not intended for the innocent litigant. Accordingly, I am not inclined to accept that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omission herein renders the verifying affidavit a nullity or incurably defective. The need for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endorsement was so a clear mischief known to the law. In this case, the drawer is an advocate and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omission due to his error, mistake or otherwise. It is a statutory offence committed by him. The Registrar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carry out his duty. I find that it would be misconstruing the literal meaning of the words in section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35(2) and the objects of the said legislation. As </w:t>
      </w:r>
      <w:proofErr w:type="spellStart"/>
      <w:r>
        <w:rPr>
          <w:rFonts w:ascii="Times New Roman" w:hAnsi="Times New Roman" w:cs="Times New Roman"/>
          <w:color w:val="000000"/>
        </w:rPr>
        <w:t>Bennion</w:t>
      </w:r>
      <w:proofErr w:type="spellEnd"/>
      <w:r>
        <w:rPr>
          <w:rFonts w:ascii="Times New Roman" w:hAnsi="Times New Roman" w:cs="Times New Roman"/>
          <w:color w:val="000000"/>
        </w:rPr>
        <w:t xml:space="preserve"> sates at 614: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a principle of legal policy that law should be just, and that court decisions should further the ends of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justice. The Court, when considering, in relation to the facts of the instant case, which of the opposing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constructions of the enactment would give effect to the legislative intention, should presume that the legislator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intended to observe this principle. The Court should therefore strive to avoid adopting a construction that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leads to injustice”.</w:t>
      </w:r>
      <w:r w:rsidR="00160F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think our parliament intended well when enacting sections 34 and 35. They are good law. However, I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read them or apply them to render a vital document like a verifying affidavit belonging to an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innocent litigant who has heavily paid for its filing, incurably defective. The purpose of mischief of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provision was not to render the document defective or invalid, </w:t>
      </w:r>
      <w:r>
        <w:rPr>
          <w:rFonts w:ascii="Times New Roman" w:hAnsi="Times New Roman" w:cs="Times New Roman"/>
          <w:i/>
          <w:iCs/>
          <w:color w:val="000000"/>
        </w:rPr>
        <w:t>per se</w:t>
      </w:r>
      <w:r>
        <w:rPr>
          <w:rFonts w:ascii="Times New Roman" w:hAnsi="Times New Roman" w:cs="Times New Roman"/>
          <w:color w:val="000000"/>
        </w:rPr>
        <w:t>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premises, I hold that in the circumstances of this case, the omission of the advocates name and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address on the verifying </w:t>
      </w:r>
      <w:r>
        <w:rPr>
          <w:rFonts w:ascii="Times New Roman" w:hAnsi="Times New Roman" w:cs="Times New Roman"/>
          <w:color w:val="000000"/>
        </w:rPr>
        <w:lastRenderedPageBreak/>
        <w:t>affidavit was a mere irregularity in form. In exercise of this Court’s direction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Order 18, rule 7 and the Court’s inherent powers under section 3A of the Civil Procedure Act,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verifying affidavit sworn on 10 February 2003 is deemed to be </w:t>
      </w:r>
      <w:proofErr w:type="spellStart"/>
      <w:r>
        <w:rPr>
          <w:rFonts w:ascii="Times New Roman" w:hAnsi="Times New Roman" w:cs="Times New Roman"/>
          <w:color w:val="000000"/>
        </w:rPr>
        <w:t>regulatar</w:t>
      </w:r>
      <w:proofErr w:type="spellEnd"/>
      <w:r>
        <w:rPr>
          <w:rFonts w:ascii="Times New Roman" w:hAnsi="Times New Roman" w:cs="Times New Roman"/>
          <w:color w:val="000000"/>
        </w:rPr>
        <w:t xml:space="preserve"> and properly filed.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is disallowed with costs to the defendant. The said costs to be paid by the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advocates personally in view of the objects of section 35(1) of the Advocates Act.</w:t>
      </w:r>
      <w:r w:rsidR="00160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plaintiff:</w:t>
      </w:r>
    </w:p>
    <w:p w:rsidR="00253874" w:rsidRDefault="00253874" w:rsidP="00253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253874" w:rsidRDefault="00253874" w:rsidP="00253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E97396" w:rsidRDefault="00253874" w:rsidP="00253874">
      <w:r>
        <w:rPr>
          <w:rFonts w:ascii="Times New Roman" w:hAnsi="Times New Roman" w:cs="Times New Roman"/>
          <w:i/>
          <w:iCs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Wandabwa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Langat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Wandabwa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Adv</w:t>
      </w:r>
      <w:proofErr w:type="spellEnd"/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74"/>
    <w:rsid w:val="00160F40"/>
    <w:rsid w:val="00253874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34EF-A611-4AA1-96DA-F1FE24DC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2508</Words>
  <Characters>14297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2018-07-03T13:35:00Z</dcterms:created>
  <dcterms:modified xsi:type="dcterms:W3CDTF">2018-07-12T10:51:00Z</dcterms:modified>
</cp:coreProperties>
</file>