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 A Plans Ltd v Bickford-Smith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May 1974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426/1969 (132/74)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Consideration – Accord and satisfaction – Wrong sum demanded in error – No accord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satisfaction.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Slip – Amendment – Wrong figure demanded in notice to show cause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Amendment allowed – Civil Procedure Act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102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Costs of civil suit were agreed between the plaintiff and the defendant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12,000/-. On the</w:t>
      </w:r>
      <w:r w:rsidR="003158E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defendant’s failure to pay a notice was issued against him which by error stated the amount due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1,200/-. The defendant paid in full settlement of costs, and thereafter refused to pay the difference.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there</w:t>
      </w:r>
      <w:proofErr w:type="gramEnd"/>
      <w:r>
        <w:rPr>
          <w:rFonts w:ascii="Times New Roman" w:hAnsi="Times New Roman" w:cs="Times New Roman"/>
          <w:color w:val="000000"/>
        </w:rPr>
        <w:t xml:space="preserve"> had been no accord and satisfaction;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error in the notice would be corrected as a slip.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Leave to plaintiff to execute.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Foakes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Beer </w:t>
      </w:r>
      <w:r>
        <w:rPr>
          <w:rFonts w:ascii="Times New Roman" w:hAnsi="Times New Roman" w:cs="Times New Roman"/>
          <w:color w:val="000000"/>
        </w:rPr>
        <w:t xml:space="preserve">(1884), 9 App.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Cas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. 605; [1881 – 5] All E.R. Rep. 106.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Chessum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Gordon</w:t>
      </w:r>
      <w:r>
        <w:rPr>
          <w:rFonts w:ascii="Times New Roman" w:hAnsi="Times New Roman" w:cs="Times New Roman"/>
          <w:color w:val="000000"/>
        </w:rPr>
        <w:t>, [1901] 1 K.B. 694; [1900 – 3] All E.R. Rep. 260.</w:t>
      </w:r>
    </w:p>
    <w:p w:rsidR="00197653" w:rsidRDefault="00197653" w:rsidP="0019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Armitage v. Parsons</w:t>
      </w:r>
      <w:r>
        <w:rPr>
          <w:rFonts w:ascii="Times New Roman" w:hAnsi="Times New Roman" w:cs="Times New Roman"/>
          <w:color w:val="000000"/>
        </w:rPr>
        <w:t>, [1908] 2 K.B. 410.</w:t>
      </w:r>
    </w:p>
    <w:p w:rsidR="00E43AAB" w:rsidRDefault="00197653" w:rsidP="00197653"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D. &amp; C. Builders v. Rees</w:t>
      </w:r>
      <w:r>
        <w:rPr>
          <w:rFonts w:ascii="Times New Roman" w:hAnsi="Times New Roman" w:cs="Times New Roman"/>
          <w:color w:val="000000"/>
        </w:rPr>
        <w:t>, [1966] 2 Q.B. 617; [1965] 3 All E.R. 83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53"/>
    <w:rsid w:val="00197653"/>
    <w:rsid w:val="003158EE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52EC-2A67-4E9B-B3B2-CD8F5A9D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2018-07-06T12:25:00Z</dcterms:created>
  <dcterms:modified xsi:type="dcterms:W3CDTF">2018-07-12T10:51:00Z</dcterms:modified>
</cp:coreProperties>
</file>