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33" w:rsidRDefault="009B1E33" w:rsidP="009B1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 A Plans Ltd v Bickford-Smith</w:t>
      </w:r>
    </w:p>
    <w:p w:rsidR="009B1E33" w:rsidRDefault="009B1E33" w:rsidP="009B1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9B1E33" w:rsidRDefault="009B1E33" w:rsidP="009B1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May 1974</w:t>
      </w:r>
    </w:p>
    <w:p w:rsidR="009B1E33" w:rsidRDefault="009B1E33" w:rsidP="009B1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426/1969 (132/74)</w:t>
      </w:r>
    </w:p>
    <w:p w:rsidR="009B1E33" w:rsidRDefault="009B1E33" w:rsidP="009B1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Nyamuchoncho J</w:t>
      </w:r>
    </w:p>
    <w:p w:rsidR="009B1E33" w:rsidRDefault="009B1E33" w:rsidP="009B1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9B1E33" w:rsidRDefault="009B1E33" w:rsidP="009B1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Consideration – Accord and satisfaction – Wrong sum demanded in error – No accord</w:t>
      </w:r>
    </w:p>
    <w:p w:rsidR="009B1E33" w:rsidRDefault="009B1E33" w:rsidP="009B1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and satisfaction.</w:t>
      </w:r>
    </w:p>
    <w:p w:rsidR="009B1E33" w:rsidRDefault="009B1E33" w:rsidP="009B1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 – Slip – Amendment – Wrong figure demanded in notice to show cause</w:t>
      </w:r>
    </w:p>
    <w:p w:rsidR="009B1E33" w:rsidRDefault="009B1E33" w:rsidP="009B1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Amendment allowed – Civil Procedure Act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102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9B1E33" w:rsidRDefault="00D347D3" w:rsidP="00D347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347D3" w:rsidRDefault="009B1E33" w:rsidP="00D347D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Nyamuchoncho J: </w:t>
      </w:r>
      <w:r>
        <w:rPr>
          <w:rFonts w:ascii="Times New Roman" w:hAnsi="Times New Roman" w:cs="Times New Roman"/>
          <w:color w:val="000000"/>
        </w:rPr>
        <w:t>This is an application under 0.19, r. 8 of the Civil Procedure Rules for leave to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execute the decree against the defendant.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historical background of this application is that the decree holder unsuccessfully sued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but on appeal the Court of Appeal allowed the appeal. Thereafter efforts were made by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to reach a settlement as to costs of the suit and appeal. After protracted negotiations, costs were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settled at Shs. 12,000/-; the settlement was communicated to the Registrar in a letter dated 20 February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1973 signed by Hunter and Greig and counter-signed by the defendant. The defendant, however, did not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 the costs promptly, so on 16 May 1973 Hunter and Greig issued a notice to show cause against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and by mistake indicated the costs to be Shs. 1,200/- instead of Shs. 12,000/-. A few days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hearing, the defendant wrote to the Registrar asking him to collect from bearer cash to cover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full amount claimed as due under the notice in full settlement of the suit and appeal. Hunter and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Greig countersigned it as “confirmed and agreed”. Hunter and Greig later it appears informed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about the mistake. The defendant refused to co-operate. On 28 September 1973, the defendant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wrote to the Registrar. His letter reads: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“Sir,</w:t>
      </w:r>
      <w:r w:rsidR="00D347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am informed by Hunter and Greig that the application contained an error. However, in view of my terms of</w:t>
      </w:r>
      <w:r w:rsidR="00D347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my letter of 13 September 1973 countersigned by them the court is functus officio in this matter and any such</w:t>
      </w:r>
      <w:r w:rsidR="00D347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error as is alleged is purely a matter between the plaintiff and its advocates.</w:t>
      </w:r>
      <w:r w:rsidR="00D347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clear from this letter that the defendant repudiated liability. He has maintained that attitude at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hearing; he argues that the plaintiff’s advocates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negligent and since the money was paid into court in full settlement, he is discharged. Hunter and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Greig admit negligence but say they are not debarred from claiming the balance.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letter dated 20 February 1973, the defendant and Hunter and Greig entered into an agreement for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valuable consideration as recorded in that letter for the settlement of the costs at Shs. 12,000/-,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settlement was entered on the file. That agreement was not altered by a subsequent agreement. When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failed to pay the agreed sum, a notice was issued but the clerk who typed it out changed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figure. This error is admitted and deposed to by Achakolong the clerk in his affidavit. The defendant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 does not contend that the agreed sum was altered by agreement or that he was led to believe that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settlement was altered. He simply refuses to pay the balance. I am satisfied that the defendant paid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lesser sum with full knowledge that it was inserted by mistake. He took the advantage to avoid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of the full settlement and hopes to get away with it. In his letter to the Registrar, he asserts that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is functus officio. He has, however, given no authority to support this contention. I do not agree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court is functus officio. The court has power under s. 102 of the Civil Procedure Act to correct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clerical mistakes in judgments or orders or errors arising from any accidental slip or omission. According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</w:t>
      </w:r>
      <w:r>
        <w:rPr>
          <w:rFonts w:ascii="Times New Roman" w:hAnsi="Times New Roman" w:cs="Times New Roman"/>
          <w:i/>
          <w:iCs/>
          <w:color w:val="000000"/>
        </w:rPr>
        <w:t>Odgers on Pleading and Practice</w:t>
      </w:r>
      <w:r>
        <w:rPr>
          <w:rFonts w:ascii="Times New Roman" w:hAnsi="Times New Roman" w:cs="Times New Roman"/>
          <w:color w:val="000000"/>
        </w:rPr>
        <w:t>, 17 Edn., p. 172 this slip rule applies to clerical mistakes and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accidental slips or omission both by officers of the court and by the parties. The slip rule was applied in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Chessum v. Gordon</w:t>
      </w:r>
      <w:r>
        <w:rPr>
          <w:rFonts w:ascii="Times New Roman" w:hAnsi="Times New Roman" w:cs="Times New Roman"/>
          <w:color w:val="000000"/>
        </w:rPr>
        <w:t>, [1901] 1 K.B. 694. In that case the plaintiffs recovered judgment against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for a sum to be ascertained by a special referee, with costs. The referee assessed the sum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payable to the plaintiffs at £3,863 and judgment was drawn up and entered for the plaintiffs for the sum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assessed with costs to be taxed. The plaintiffs carried in their bill of costs for taxation but by a pure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slip they did not include in their bill of costs the sum of £160 11s 8d which they had paid to the referee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they took up the award. The master accordingly </w:t>
      </w:r>
      <w:r>
        <w:rPr>
          <w:rFonts w:ascii="Times New Roman" w:hAnsi="Times New Roman" w:cs="Times New Roman"/>
          <w:color w:val="000000"/>
        </w:rPr>
        <w:lastRenderedPageBreak/>
        <w:t>taxed the bill of costs as carried in and gave his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for £516 8s 7d. The defendant paid the plaintiffs the two sums of £3,863 and £516 8s 7d.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plaintiffs’ solicitors shortly afterwards discovered that by mistake the sum paid to the referee had not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included in the bill of costs carried in for taxation. A summons was taken out for an order that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should pay to the plaintiffs the sum of £160 11s 8d. Day, J. ordered that the sum should be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the taxing master for taxation and that the taxing master’s certificate should be amended on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 that there had been a mistake in not including the referees’ fees. On appeal, it was held that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had been an error in the judgment arising from an accidental slip or omission which could be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corrected. In </w:t>
      </w:r>
      <w:r>
        <w:rPr>
          <w:rFonts w:ascii="Times New Roman" w:hAnsi="Times New Roman" w:cs="Times New Roman"/>
          <w:i/>
          <w:iCs/>
          <w:color w:val="000000"/>
        </w:rPr>
        <w:t>Armitage v. Parsons</w:t>
      </w:r>
      <w:r>
        <w:rPr>
          <w:rFonts w:ascii="Times New Roman" w:hAnsi="Times New Roman" w:cs="Times New Roman"/>
          <w:color w:val="000000"/>
        </w:rPr>
        <w:t>, [1908] 2 K.B. 410 the judgment was signed which included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for costs which exceeded by the sum of 12s the amount properly allowable for costs. It was held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was power to amend the judgment. These two cases clearly show that the error in this case can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amended. The court is not functus officio.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another argument the defendant says he is discharged from his obligations to pay the balance in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of the terms of his letter dated 13 September 1973. The defendant knew that amount due was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12,000/- and he agreed to pay that sum. The consent was drawn up, he signed it, it was entered on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record. No new negotiations were entered upon by him and Hunter and Greig to alter that sum, so,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he tendered the amount shown in the notice as Shs. 1,200/- he knew perfectly well that it was a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 figure. Nevertheless he tendered the lesser sum. It is clear that he did not tender the lesser sum in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good faith. This behaviour on the part of the defendant is to be very much deprecated. The defendant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tendered a lesser sum with full knowledge that he was not satisfying the settlement. There was no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mistake on his part at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he tendered the lesser sum which he could advance as a defence. Under the common law payment of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lesser sum which is accepted by the creditor does not discharge the debtor. The law was so stated in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Pennel’s </w:t>
      </w:r>
      <w:r>
        <w:rPr>
          <w:rFonts w:ascii="Times New Roman" w:hAnsi="Times New Roman" w:cs="Times New Roman"/>
          <w:color w:val="000000"/>
        </w:rPr>
        <w:t xml:space="preserve">case and was confirmed in </w:t>
      </w:r>
      <w:r>
        <w:rPr>
          <w:rFonts w:ascii="Times New Roman" w:hAnsi="Times New Roman" w:cs="Times New Roman"/>
          <w:i/>
          <w:iCs/>
          <w:color w:val="000000"/>
        </w:rPr>
        <w:t xml:space="preserve">Foakes v. Beer </w:t>
      </w:r>
      <w:r>
        <w:rPr>
          <w:rFonts w:ascii="Times New Roman" w:hAnsi="Times New Roman" w:cs="Times New Roman"/>
          <w:color w:val="000000"/>
        </w:rPr>
        <w:t xml:space="preserve">(1884), 9 App. Cas. 605. It was applied in </w:t>
      </w:r>
      <w:r>
        <w:rPr>
          <w:rFonts w:ascii="Times New Roman" w:hAnsi="Times New Roman" w:cs="Times New Roman"/>
          <w:i/>
          <w:iCs/>
          <w:color w:val="000000"/>
        </w:rPr>
        <w:t>D. &amp; C.</w:t>
      </w:r>
      <w:r w:rsidR="00D347D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Builders v. Rees</w:t>
      </w:r>
      <w:r>
        <w:rPr>
          <w:rFonts w:ascii="Times New Roman" w:hAnsi="Times New Roman" w:cs="Times New Roman"/>
          <w:color w:val="000000"/>
        </w:rPr>
        <w:t>, [1966] 2 Q.B. 617. These cases are however different from the present case in that there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debtor offered to pay a smaller sum to the creditor who for different considerations accepted the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smaller sum but later sued the debtor for the balance. Accord and satisfaction would defeat the principle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laid down in </w:t>
      </w:r>
      <w:r>
        <w:rPr>
          <w:rFonts w:ascii="Times New Roman" w:hAnsi="Times New Roman" w:cs="Times New Roman"/>
          <w:i/>
          <w:iCs/>
          <w:color w:val="000000"/>
        </w:rPr>
        <w:t xml:space="preserve">Pennel’s </w:t>
      </w:r>
      <w:r>
        <w:rPr>
          <w:rFonts w:ascii="Times New Roman" w:hAnsi="Times New Roman" w:cs="Times New Roman"/>
          <w:color w:val="000000"/>
        </w:rPr>
        <w:t>case. This is not a case in which accord and satis action can be pleaded when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payment of a lesser sum may be a good defence. But as Denning, L.J. said in </w:t>
      </w:r>
      <w:r>
        <w:rPr>
          <w:rFonts w:ascii="Times New Roman" w:hAnsi="Times New Roman" w:cs="Times New Roman"/>
          <w:i/>
          <w:iCs/>
          <w:color w:val="000000"/>
        </w:rPr>
        <w:t xml:space="preserve">D. &amp; C. Builders v. Rees </w:t>
      </w:r>
      <w:r>
        <w:rPr>
          <w:rFonts w:ascii="Times New Roman" w:hAnsi="Times New Roman" w:cs="Times New Roman"/>
          <w:color w:val="000000"/>
        </w:rPr>
        <w:t>at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p. 625: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applying this principle, however, we must note the qualification that the creditor is only barred from his</w:t>
      </w:r>
      <w:r w:rsidR="00D347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legal rights when it would be inequitable for him to insist upon them. Where there has been a true accord,</w:t>
      </w:r>
      <w:r w:rsidR="00D347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which the creditor voluntarily agrees to accept a lesser sum in satisfaction and the debtor acts upon that</w:t>
      </w:r>
      <w:r w:rsidR="00D347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accord by paying the lesser sum and the creditor accepts it, there it is inequitable for the creditor afterwards to</w:t>
      </w:r>
      <w:r w:rsidR="00D347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insist on the balance, but he is not barred unless there has been truly an accord between them.”</w:t>
      </w:r>
      <w:r w:rsidR="00D347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the facts of this case, there has been no accord. The creditor did not voluntarily agree to accept a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lesser sum in satisfaction. The fact that the defendant indicated in his letter that it was in full settlement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not alter the position. Equally it is immaterial that the money was paid into court as this can be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corrected by virtue of s. 102 of the Civil Procedure Act. It would be inequitable to allow the defendant to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retain the balance since he fully understood that he was paying a lesser sum so as to avoid paying the full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costs. His hands are not clean and cannot therefore seek an equitable remedy.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 there is no reason in law or equity why the applicant cannot enforce the full amount</w:t>
      </w:r>
      <w:r w:rsidR="00D347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due to him. Application granted with costs.</w:t>
      </w:r>
      <w:r w:rsidR="00D347D3">
        <w:rPr>
          <w:rFonts w:ascii="Times New Roman" w:hAnsi="Times New Roman" w:cs="Times New Roman"/>
          <w:color w:val="000000"/>
        </w:rPr>
        <w:t xml:space="preserve"> </w:t>
      </w:r>
    </w:p>
    <w:p w:rsidR="00E43AAB" w:rsidRDefault="009B1E33" w:rsidP="00D347D3">
      <w:pPr>
        <w:jc w:val="both"/>
      </w:pP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Order accordingly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33"/>
    <w:rsid w:val="009B1E33"/>
    <w:rsid w:val="00D347D3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40193-5FAF-47B6-B246-3F62DCAF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2018-07-06T12:26:00Z</dcterms:created>
  <dcterms:modified xsi:type="dcterms:W3CDTF">2018-07-12T10:53:00Z</dcterms:modified>
</cp:coreProperties>
</file>