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EA Newspapers (Nation Series) Ltd v Opondo and others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29 November 1973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31/1972 (4/74)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Spry V-P and Law JA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Madan, J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Defamation – Identification – Reference to office-bearers a reference to all six – Office-bearers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acting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such.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Defamation – Innuendo – Criminal offence – Innuendo of special meaning not pleaded or proved.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Defamation – Damages – Malice – Same principles as malice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negativing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qualified privilege.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Defamation – Malice – Newspaper not liable for malice of freelance journalist.</w:t>
      </w:r>
    </w:p>
    <w:p w:rsidR="00762C3F" w:rsidRDefault="00417675" w:rsidP="004176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417675" w:rsidRDefault="00762C3F" w:rsidP="00417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</w:p>
    <w:p w:rsidR="00417675" w:rsidRDefault="00762C3F" w:rsidP="00417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Spry V-P: </w:t>
      </w:r>
      <w:r>
        <w:rPr>
          <w:rFonts w:ascii="Times New Roman" w:hAnsi="Times New Roman" w:cs="Times New Roman"/>
          <w:color w:val="000000"/>
        </w:rPr>
        <w:t>This is an appeal from a judgment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decree of the High Court, awarding the respondents in six consolidated suits damages for libel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44,000/- each against the appellant. The present appeal is primarily against the finding of liability,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 against the quantum of damages.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complained of appeared in a Sunday newspaper owned and published by the appellant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company. They appeared under a headline “</w:t>
      </w:r>
      <w:proofErr w:type="spellStart"/>
      <w:r>
        <w:rPr>
          <w:rFonts w:ascii="Times New Roman" w:hAnsi="Times New Roman" w:cs="Times New Roman"/>
          <w:color w:val="000000"/>
        </w:rPr>
        <w:t>Luos</w:t>
      </w:r>
      <w:proofErr w:type="spellEnd"/>
      <w:r>
        <w:rPr>
          <w:rFonts w:ascii="Times New Roman" w:hAnsi="Times New Roman" w:cs="Times New Roman"/>
          <w:color w:val="000000"/>
        </w:rPr>
        <w:t xml:space="preserve"> Sack Nairobi Officials” and, as quoted in each of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plaints, read as follows: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president of the Luo Union (East Africa), Mr. Paul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Mboya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has dismissed the present officials (meaning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Plaintiff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of the union’s Nairobi branch and has ordered immediate elections for new officials.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 statement issued in Kisumu by the assistant Secretary-general of the union, Mr. Philip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Owili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Magak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claimed that the Nairobi officials (meaning the Plaintiff 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had been dismissed because of ‘too much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indulging in politics’.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Magak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 that it had been noted with regret that in recent years certain officials (meaning the Plaintiff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inter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alios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of the Luo Union in Nairobi had gone beyond the union’s constitution by setting themselves up in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opposition to the Government.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‘We wish to dissociate the Luo Union from any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which is hostile to the Government of the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Republic’,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Magak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said.”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first three grounds of appeal concerned the question whether the words complained of sufficiently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identified the respondents as the persons referred to in the publication. Mr. Sampson submitted that an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innuendo as to identity should have been pleaded and that the words complained of were incapable in law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referring to the respondents and did not in fact refer to them. He complained that a late amendment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allowed, supplying certain particulars, but, with respect, I do not think it made any material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difference. On these questions, we did not think it necessary to call on Mr.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for the respondents.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These submissions all depended on a question of fact, whether the respondents were or had been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officers of the Nairobi branch of the Luo Union or only some of them. It was not disputed that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been the office-bearers of the branch, but Mr. Sampson contended that they had ceased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be such, either, under the constitution of the union, after a year in office or after dismissal, and,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further, that some one hundred and eight locational representatives were also officials of the branch.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first point, the respondents were undoubtedly performing the functions of the branch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office-bearers at all material times and it is immaterial, on the question of identification, whether their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appointments were valid or invalid, subsisting or not. As regards the second point, while I think that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technically, for certain purposes, such as the Societies Act, the locational representatives may rank as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officials of the branch, the evidence clearly shows that any ordinary, reasonable person would have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understood a reference to the officials of the branch as meaning the office-bearers.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office-bearers were only six in number and I think any reference to them must be regarded as a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each of them. The judge so held, and I think he was right. He went on to remark, obiter, that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even if he had held that the locational representatives were also officials, he would still have held that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 complained of pointed personally towards each of the plaintiffs. There, with respect, I cannot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agree. As I understand it, a reference to a class is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to be treated as a reference to an individual member or members of that class where the members of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class are few in number and closely associated in their common activity, such as trustees of a trust,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except when there is something in the publication itself or in the circumstances that points to all or any of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members personally. This is a matter of degree, and while a reference to a body of six office-bearers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concerned with </w:t>
      </w:r>
      <w:r>
        <w:rPr>
          <w:rFonts w:ascii="Times New Roman" w:hAnsi="Times New Roman" w:cs="Times New Roman"/>
          <w:color w:val="000000"/>
        </w:rPr>
        <w:lastRenderedPageBreak/>
        <w:t>the day-to-day running of a society may fairly point to each of them personally, a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reference to a body of a hundred and fourteen officials, who, on the evidence, only met together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infrequently, could, in my opinion, not possibly be defamatory of each and all of them.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further point raised by Mr. Sampson on the question of identification was that while the first two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of the publication referred to “the officials” the third only referred to “certain officials”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fourth was only a general policy statement not aimed at anyone. This is an attractive argument, but I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 not think it is sound. I think the publication must be looked at as a whole and not split up into separate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parts, and if the first two paragraphs clearly point to the first respondents, anything defamatory in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two is bound to be associated with them.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main issue on the appeal was whether or not the words complained of were defamatory.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did not plead any legal innuendo; they relied on the ordinary and natural meaning of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words. They did plead a popular innuendo, in that they alleged that the words complained of meant, in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ordinary and natural sense, that the first respondents had engaged in politics to an extent and in a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manner which merited their dismissal from the Union, had set themselves up in opposition to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 and thereby violated the constitution of the Union and had associated themselves with an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organisation</w:t>
      </w:r>
      <w:proofErr w:type="spellEnd"/>
      <w:r>
        <w:rPr>
          <w:rFonts w:ascii="Times New Roman" w:hAnsi="Times New Roman" w:cs="Times New Roman"/>
          <w:color w:val="000000"/>
        </w:rPr>
        <w:t xml:space="preserve"> hostile to the Government, from which the Union wished to be dissociated.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seems to have treated the words as obviously defamatory and he only dealt with their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meaning when dealing with the matter of damages. He then said: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“What did the article do. What was the nature of the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article.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imputations in it are of a criminal character.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libel exposed the plaintiffs to the risk of interrogation by police and security officers, investigation of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their activities and mode of private life and unpleasant inquiries about them from other people. It subjected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them to the indignity of being suspect as citizens. It exposed them to the fear of incarceration. It must have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injected a deep sense of anxiety in their minds about their personal safety. A mind cast into a state of fear is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nerve wracking.”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respect, I do not think the words complained of could possibly convey such a meaning, unless they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conveyed an innuendo, that is, a legal innuendo, which would have had to be pleaded and proved. I think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that, in the context of Kenya in 1970, the words complained of were mildly defamatory. It would not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defamatory to say that the first respondents indulged in politics, because many respected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citizens do so, but the use of the words “too much”, coupled with the successive references to opposition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hostility, </w:t>
      </w:r>
      <w:proofErr w:type="gramStart"/>
      <w:r>
        <w:rPr>
          <w:rFonts w:ascii="Times New Roman" w:hAnsi="Times New Roman" w:cs="Times New Roman"/>
          <w:color w:val="000000"/>
        </w:rPr>
        <w:t>does</w:t>
      </w:r>
      <w:proofErr w:type="gramEnd"/>
      <w:r>
        <w:rPr>
          <w:rFonts w:ascii="Times New Roman" w:hAnsi="Times New Roman" w:cs="Times New Roman"/>
          <w:color w:val="000000"/>
        </w:rPr>
        <w:t xml:space="preserve"> suggest something going beyond the constitutional rights of freedom of speech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opinion. Following the statement that the officials had been dismissed, it suggests that their involvement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politics would harm the Luo Union. On the other hand, I do not think the words convey an imputation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sedition or of any offence of a criminal nature: that would be going beyond the ordinary meaning of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and call for the pleading of an innuendo.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Next, Mr. Sampson argued that the plaints claimed that the first respondents had been disparaged in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capacity as officers of the Union. He submitted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this placed the onus on them of proving that at the material time they were officials of the Union. I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 that the onus was on the first respondents, but I think that they did sufficiently discharge it. Mr.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Sampson’s arguments here were, first, that as the constitution of the Union provided for annual elections,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tenure of office had expired, and, secondly and in the alternative, that they had been dismissed.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officials were in default in failing to call elections, there is no provision in the constitution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automatic vacation of office and in the absence of any such provision, I think they continued in office,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unless, of course, properly dismissed. There is no evidence at all of dismissal in accordance with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constitution: the suggestion was that they had been dismissed by the president of the Union, but under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he had no power of dismissal.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Mr. Sampson next argued that the judge had erred in finding malice and consequently in awarding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 and also submitted that the damages were in any case so excessive as to call for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interference.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finding of malice was five-fold. In the first place, the judge found evidence of malice in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gravity of the defamation and in the violence of the language used. I have already quoted the judge’s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remarks on the natural meaning of the words used and indicated that in my opinion the words are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incapable of such a meaning. It was presumably on the basis of his interpretation that he referred to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violence of language but, with respect, I can see nothing violent in the language used. Language is said to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violent when it is highly exaggerated or emotional. The use of epithets such as “villain” or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“scoundrel” or adjectives such as “wicked”, “horrible” or “disgusting” may be described as violent. Here,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words complained of appear factual: they may be incorrect and they may be defamatory, but they are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not, in my opinion, violent.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judge also found an indication of malice in the </w:t>
      </w:r>
      <w:proofErr w:type="spellStart"/>
      <w:r>
        <w:rPr>
          <w:rFonts w:ascii="Times New Roman" w:hAnsi="Times New Roman" w:cs="Times New Roman"/>
          <w:color w:val="000000"/>
        </w:rPr>
        <w:t>behaviour</w:t>
      </w:r>
      <w:proofErr w:type="spellEnd"/>
      <w:r>
        <w:rPr>
          <w:rFonts w:ascii="Times New Roman" w:hAnsi="Times New Roman" w:cs="Times New Roman"/>
          <w:color w:val="000000"/>
        </w:rPr>
        <w:t xml:space="preserve"> of one Odera, a journalist in Kisumu.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Assuming that his conduct showed malice, I do not think </w:t>
      </w:r>
      <w:r>
        <w:rPr>
          <w:rFonts w:ascii="Times New Roman" w:hAnsi="Times New Roman" w:cs="Times New Roman"/>
          <w:color w:val="000000"/>
        </w:rPr>
        <w:lastRenderedPageBreak/>
        <w:t>it can, in law, be imputed to the appellant.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are two East African decisions, somewhat differently worded, to the effect that the malice of its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servants may be imputed to a corporation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Kenya Farmers’ Association </w:t>
      </w:r>
      <w:r>
        <w:rPr>
          <w:rFonts w:ascii="Times New Roman" w:hAnsi="Times New Roman" w:cs="Times New Roman"/>
          <w:color w:val="000000"/>
        </w:rPr>
        <w:t>(1946), 22 (2) K.L.R. 1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Hoare v. Jessop </w:t>
      </w:r>
      <w:r>
        <w:rPr>
          <w:rFonts w:ascii="Times New Roman" w:hAnsi="Times New Roman" w:cs="Times New Roman"/>
          <w:color w:val="000000"/>
        </w:rPr>
        <w:t xml:space="preserve">[1965] E.A. 218) and in England it was held, in </w:t>
      </w:r>
      <w:r>
        <w:rPr>
          <w:rFonts w:ascii="Times New Roman" w:hAnsi="Times New Roman" w:cs="Times New Roman"/>
          <w:i/>
          <w:iCs/>
          <w:color w:val="000000"/>
        </w:rPr>
        <w:t>Egger v. Chelmsford</w:t>
      </w:r>
      <w:r>
        <w:rPr>
          <w:rFonts w:ascii="Times New Roman" w:hAnsi="Times New Roman" w:cs="Times New Roman"/>
          <w:color w:val="000000"/>
        </w:rPr>
        <w:t>, [1965] 1 Q.B.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248 that an innocent principal is liable for the malice of his agent, acting within the scope of his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authority, whether the agent is acting for his principal’s benefit or not (per Lord Denning at p. 261).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These cases were all decided on the issue whether there was express malice defeating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qualified privilege, but I see no reason to apply any different principle in deciding whether there was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malice as would aggravate the damages.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accept the principles set out in those cases, but I do not think they are relevant here. As Mr. Sampson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pointed out, Odera, though regarded as an agent of the appellant, was a free-lance journalist who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contributed to other papers and was paid by the appellant on a line basis. He was, I think, more of an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independent contractor than a servant or agent and I do not think his malice can be imputed to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judge also found evidence of malice, first, in particulars filed in support of a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comment, and, secondly, in the failure of the appellant to publish an apology. The particulars were filed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response to a request for particulars but one day later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of fair comment was abandoned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evidence in support of the particulars was ever led. With respect, I do not think the filing of these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particulars is itself evidence of malice and I see no significance in the withdrawal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>, since it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obviously inappropriate, as the words complained of were clearly not comment. Refusal to </w:t>
      </w:r>
      <w:proofErr w:type="spellStart"/>
      <w:r>
        <w:rPr>
          <w:rFonts w:ascii="Times New Roman" w:hAnsi="Times New Roman" w:cs="Times New Roman"/>
          <w:color w:val="000000"/>
        </w:rPr>
        <w:t>apologise</w:t>
      </w:r>
      <w:proofErr w:type="spellEnd"/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may be an aggravating factor, but in the present case, there was no express refusal and the appellant did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immediately publish a denial of the offending words by one of the respondents.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Sampson argued that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published an apology would have been tantamount to an admission of guilt. With respect, I think,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judge suggested, that the appellant could well have published a qualified apology, and might have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wise to do so, but do not think too much should be made of this.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judge also took into account that at an election held a little over three months later,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failed to be re-elected. There was no evidence to establish that this was a direct result of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publication and I do not think it can be inferred. The evidence shows that the president of the Union had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purported to suspend the respondents for failing to comply with the constitution of the Union and this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indicates that there may well have been other reasons for their non-election.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Finally, on the question of damages, the judge dealt at length with the distinguished careers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prominent status of the respondents. With respect, I think this was somewhat exaggerated on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evidence, and I note in this connection that one of their own witnesses, a Luo living in Nairobi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Archbishop of the </w:t>
      </w:r>
      <w:proofErr w:type="spellStart"/>
      <w:r>
        <w:rPr>
          <w:rFonts w:ascii="Times New Roman" w:hAnsi="Times New Roman" w:cs="Times New Roman"/>
          <w:color w:val="000000"/>
        </w:rPr>
        <w:t>Legio</w:t>
      </w:r>
      <w:proofErr w:type="spellEnd"/>
      <w:r>
        <w:rPr>
          <w:rFonts w:ascii="Times New Roman" w:hAnsi="Times New Roman" w:cs="Times New Roman"/>
          <w:color w:val="000000"/>
        </w:rPr>
        <w:t xml:space="preserve"> Maria, knew the names of only two of them.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my opinion, with respect, there was no justification for aggravated damages and I think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should have been assessed on the basis that this was a border-line case, with the words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complained of only mildly defamatory. I would reduce the damages awarded to each of the first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from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40,000/-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10,000/-.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sum up, I would dismiss this appeal so far as it is an appeal against liability but I would allow it so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far as it is an appeal against the quantum of damages, which I would reduce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10,000/- for each of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respondents. I would award the appellant one-half of its costs as against the respondents, with a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certificate for two advocates. I would leave the order for costs in the High Court unchanged.</w:t>
      </w:r>
    </w:p>
    <w:p w:rsidR="00417675" w:rsidRDefault="00417675" w:rsidP="00417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762C3F">
        <w:rPr>
          <w:rFonts w:ascii="Times New Roman" w:hAnsi="Times New Roman" w:cs="Times New Roman"/>
          <w:b/>
          <w:bCs/>
          <w:color w:val="000000"/>
        </w:rPr>
        <w:t xml:space="preserve">Sir William </w:t>
      </w:r>
      <w:proofErr w:type="spellStart"/>
      <w:r w:rsidR="00762C3F">
        <w:rPr>
          <w:rFonts w:ascii="Times New Roman" w:hAnsi="Times New Roman" w:cs="Times New Roman"/>
          <w:b/>
          <w:bCs/>
          <w:color w:val="000000"/>
        </w:rPr>
        <w:t>Duffus</w:t>
      </w:r>
      <w:proofErr w:type="spellEnd"/>
      <w:r w:rsidR="00762C3F">
        <w:rPr>
          <w:rFonts w:ascii="Times New Roman" w:hAnsi="Times New Roman" w:cs="Times New Roman"/>
          <w:b/>
          <w:bCs/>
          <w:color w:val="000000"/>
        </w:rPr>
        <w:t xml:space="preserve"> P: </w:t>
      </w:r>
      <w:r w:rsidR="00762C3F">
        <w:rPr>
          <w:rFonts w:ascii="Times New Roman" w:hAnsi="Times New Roman" w:cs="Times New Roman"/>
          <w:color w:val="000000"/>
        </w:rPr>
        <w:t>I have read and agree with the judgment of the Vice-President and with the order</w:t>
      </w:r>
      <w:r>
        <w:rPr>
          <w:rFonts w:ascii="Times New Roman" w:hAnsi="Times New Roman" w:cs="Times New Roman"/>
          <w:color w:val="000000"/>
        </w:rPr>
        <w:t xml:space="preserve"> </w:t>
      </w:r>
      <w:r w:rsidR="00762C3F">
        <w:rPr>
          <w:rFonts w:ascii="Times New Roman" w:hAnsi="Times New Roman" w:cs="Times New Roman"/>
          <w:color w:val="000000"/>
        </w:rPr>
        <w:t>he proposes and as Law, J.A. also agrees it is ordered accordingly.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762C3F" w:rsidRDefault="00762C3F" w:rsidP="004176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Law JA: </w:t>
      </w:r>
      <w:r>
        <w:rPr>
          <w:rFonts w:ascii="Times New Roman" w:hAnsi="Times New Roman" w:cs="Times New Roman"/>
          <w:color w:val="000000"/>
        </w:rPr>
        <w:t xml:space="preserve">I have had the advantage of reading in draft the judgment prepared by Spry, V.-P. </w:t>
      </w:r>
      <w:proofErr w:type="gramStart"/>
      <w:r>
        <w:rPr>
          <w:rFonts w:ascii="Times New Roman" w:hAnsi="Times New Roman" w:cs="Times New Roman"/>
          <w:color w:val="000000"/>
        </w:rPr>
        <w:t>with</w:t>
      </w:r>
      <w:proofErr w:type="gramEnd"/>
      <w:r>
        <w:rPr>
          <w:rFonts w:ascii="Times New Roman" w:hAnsi="Times New Roman" w:cs="Times New Roman"/>
          <w:color w:val="000000"/>
        </w:rPr>
        <w:t xml:space="preserve"> which I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agree. The factors which influenced the trial judge in his assessment of the damages awarded seem to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the following: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the meaning attached by the judge to the defamatory words;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the violence of the words used;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 w:cs="Times New Roman"/>
          <w:color w:val="000000"/>
          <w:sz w:val="20"/>
          <w:szCs w:val="20"/>
        </w:rPr>
        <w:t>) the failure to publish an apology;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 w:cs="Times New Roman"/>
          <w:color w:val="000000"/>
          <w:sz w:val="20"/>
          <w:szCs w:val="20"/>
        </w:rPr>
        <w:t>) the imputation to the appellant of malice found to have existed on the part of the author of the article,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Mr. Odera, and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 w:cs="Times New Roman"/>
          <w:color w:val="000000"/>
          <w:sz w:val="20"/>
          <w:szCs w:val="20"/>
        </w:rPr>
        <w:t>) the prominence of the respondents in the public estimation.</w:t>
      </w:r>
      <w:r w:rsidR="004176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As regards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), I am of the opinion that the popular innuendo pleaded in the plaint was made out, that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had engaged in politics to an extent which merited their dismissal from the Luo Union, that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had set themselves up in opposition to the Government thus violating the Union’s constitution, and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they were hostile to the Government. But the judge went much further. He found that the imputations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of a criminal character, making the respondents liable to investigation and interrogation by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 and security officials, and exposing them to the fear of incarceration. No such meaning can be read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into the ordinary and natural meaning of the defamatory article, and no legal innuendo alleging any such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meaning </w:t>
      </w:r>
      <w:r>
        <w:rPr>
          <w:rFonts w:ascii="Times New Roman" w:hAnsi="Times New Roman" w:cs="Times New Roman"/>
          <w:color w:val="000000"/>
        </w:rPr>
        <w:lastRenderedPageBreak/>
        <w:t>was pleaded. As regards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), I do not see how the language used in the article can be described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violent. No gratuitously offensive or scurrilous epithets were used. As regards (</w:t>
      </w:r>
      <w:r>
        <w:rPr>
          <w:rFonts w:ascii="Times New Roman" w:hAnsi="Times New Roman" w:cs="Times New Roman"/>
          <w:i/>
          <w:i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), I agree with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Vice-President that a conditional apology could well have been published, without prejudicing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contention that the words used in the article were not defamatory, but in my view whilst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an apology may well justify not mitigating damages, it is not normally a reason for awarding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aggravated damages. As regards (</w:t>
      </w:r>
      <w:r>
        <w:rPr>
          <w:rFonts w:ascii="Times New Roman" w:hAnsi="Times New Roman" w:cs="Times New Roman"/>
          <w:i/>
          <w:i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) I consider, for the reasons given by the Vice-President, that it was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proved that Mr. Odera was an agent, acting within the scope of his authority, for whose malice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was liable. He seems to have been a free-lance journalist, whose contributions were paid for on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line basis when used. Finally, I agree that too much was made of the respondents’ alleged prominence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public life.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reasons, with respect, I consider that the judge was unduly influenced in favour of the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and awarded them damages which were manifestly excessive. I concur in the order proposed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Vice-President.</w:t>
      </w:r>
      <w:r w:rsidR="0041767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Appeal allowed in part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762C3F" w:rsidRDefault="00762C3F" w:rsidP="00762C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RN Sampson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 xml:space="preserve">JV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Juma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Archer &amp; Wilcock</w:t>
      </w:r>
      <w:r>
        <w:rPr>
          <w:rFonts w:ascii="Times New Roman" w:hAnsi="Times New Roman" w:cs="Times New Roman"/>
          <w:color w:val="000000"/>
        </w:rPr>
        <w:t>, Nairobi)</w:t>
      </w:r>
    </w:p>
    <w:p w:rsidR="00664035" w:rsidRDefault="00762C3F" w:rsidP="00762C3F">
      <w:r>
        <w:rPr>
          <w:rFonts w:ascii="Times New Roman" w:hAnsi="Times New Roman" w:cs="Times New Roman"/>
          <w:color w:val="000000"/>
        </w:rPr>
        <w:t>For the respondents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3F"/>
    <w:rsid w:val="00417675"/>
    <w:rsid w:val="00664035"/>
    <w:rsid w:val="0076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D50AB-CCAE-4508-8C21-E91BCE6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2018-07-05T12:50:00Z</dcterms:created>
  <dcterms:modified xsi:type="dcterms:W3CDTF">2018-07-12T11:12:00Z</dcterms:modified>
</cp:coreProperties>
</file>