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East African Community v Railway African Union (Kenya) and others (No. 2)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October 1974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41/1974 (115/74)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JTA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Sir James Wicks, C.J. and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Master and Servant – Trade dispute – Employees of Community – Industrial Court must apply laws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partner states.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Master and servant – Trade dispute – Railways Corporation – Major alterations of terms of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employment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may only be made by Communications Council – Council a proper party to proceedings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before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Industrial Court – East African Railways Corporation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18),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13.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Prerogative Orders – Certiorari – Necessity for order must be shown.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applied in the High Court for an order of certiorari to quash a decision of the East African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Industrial Court sitting in Kenya. The facts are set out in the judgment of Spry, Ag. P.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to the Court of Appeal, the appellant argued that the Uganda and Tanzanian Unions could</w:t>
      </w:r>
      <w:r w:rsidR="00684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 parties to the dispute and that no award could be made affecting workers residing and working in</w:t>
      </w:r>
      <w:r w:rsidR="00684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countries, that the Industrial Court purported to make an award embodying a report not approved</w:t>
      </w:r>
      <w:r w:rsidR="006846A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by the Communication Council.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East African Industrial Court has to apply the separate laws of the partner states and in a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dispute</w:t>
      </w:r>
      <w:proofErr w:type="gramEnd"/>
      <w:r>
        <w:rPr>
          <w:rFonts w:ascii="Times New Roman" w:hAnsi="Times New Roman" w:cs="Times New Roman"/>
          <w:color w:val="000000"/>
        </w:rPr>
        <w:t xml:space="preserve"> under Kenya law has no jurisdiction to make an award affecting employees in Uganda or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Tanzania;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acquiescence cannot create jurisdiction, nor can the unworkability of a law;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there</w:t>
      </w:r>
      <w:proofErr w:type="gramEnd"/>
      <w:r>
        <w:rPr>
          <w:rFonts w:ascii="Times New Roman" w:hAnsi="Times New Roman" w:cs="Times New Roman"/>
          <w:color w:val="000000"/>
        </w:rPr>
        <w:t xml:space="preserve"> was only an excess of jurisdiction as regards Uganda and Tanzania;</w:t>
      </w:r>
    </w:p>
    <w:p w:rsidR="009260D9" w:rsidRDefault="006846AE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9260D9">
        <w:rPr>
          <w:rFonts w:ascii="Times New Roman" w:hAnsi="Times New Roman" w:cs="Times New Roman"/>
          <w:color w:val="000000"/>
        </w:rPr>
        <w:t xml:space="preserve">(iv) </w:t>
      </w:r>
      <w:proofErr w:type="gramStart"/>
      <w:r w:rsidR="009260D9">
        <w:rPr>
          <w:rFonts w:ascii="Times New Roman" w:hAnsi="Times New Roman" w:cs="Times New Roman"/>
          <w:color w:val="000000"/>
        </w:rPr>
        <w:t>the</w:t>
      </w:r>
      <w:proofErr w:type="gramEnd"/>
      <w:r w:rsidR="009260D9">
        <w:rPr>
          <w:rFonts w:ascii="Times New Roman" w:hAnsi="Times New Roman" w:cs="Times New Roman"/>
          <w:color w:val="000000"/>
        </w:rPr>
        <w:t xml:space="preserve"> “agreement” was no more than agreed recommendations to the Communications Council which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the only body which can take decisions on major alterations of wages or salaries;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</w:rPr>
        <w:t>it</w:t>
      </w:r>
      <w:proofErr w:type="gramEnd"/>
      <w:r>
        <w:rPr>
          <w:rFonts w:ascii="Times New Roman" w:hAnsi="Times New Roman" w:cs="Times New Roman"/>
          <w:color w:val="000000"/>
        </w:rPr>
        <w:t xml:space="preserve"> was beyond the power of the Corporation or the Director-General to implement the “agreement”;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Industrial Court must give the Communications Council an opportunity of being heard before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considering</w:t>
      </w:r>
      <w:proofErr w:type="gramEnd"/>
      <w:r>
        <w:rPr>
          <w:rFonts w:ascii="Times New Roman" w:hAnsi="Times New Roman" w:cs="Times New Roman"/>
          <w:color w:val="000000"/>
        </w:rPr>
        <w:t xml:space="preserve"> a dispute involving major alterations to wages or salaries;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vii</w:t>
      </w:r>
      <w:proofErr w:type="gramEnd"/>
      <w:r>
        <w:rPr>
          <w:rFonts w:ascii="Times New Roman" w:hAnsi="Times New Roman" w:cs="Times New Roman"/>
          <w:color w:val="000000"/>
        </w:rPr>
        <w:t>) a case for the discretionary order of certiorari had not been made out since it was possible that the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order</w:t>
      </w:r>
      <w:proofErr w:type="gramEnd"/>
      <w:r>
        <w:rPr>
          <w:rFonts w:ascii="Times New Roman" w:hAnsi="Times New Roman" w:cs="Times New Roman"/>
          <w:color w:val="000000"/>
        </w:rPr>
        <w:t xml:space="preserve"> would have no practical consequences and the order was therefore not shown to be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necessary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Lord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Newborough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(1869), L.R. 4 Q.B. 585.</w:t>
      </w:r>
    </w:p>
    <w:p w:rsidR="003278A0" w:rsidRDefault="009260D9" w:rsidP="009260D9"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East African Community v. Railway African Union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Kenya</w:t>
      </w:r>
      <w:r>
        <w:rPr>
          <w:rFonts w:ascii="Times New Roman" w:hAnsi="Times New Roman" w:cs="Times New Roman"/>
          <w:color w:val="000000"/>
        </w:rPr>
        <w:t>), [1973] E.A. 529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D9"/>
    <w:rsid w:val="003278A0"/>
    <w:rsid w:val="006846AE"/>
    <w:rsid w:val="0092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5ABB9-BD49-451C-BCD6-0B564D01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2018-07-06T11:56:00Z</dcterms:created>
  <dcterms:modified xsi:type="dcterms:W3CDTF">2018-07-12T11:13:00Z</dcterms:modified>
</cp:coreProperties>
</file>