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East African Community v Railway African Union (Kenya) and others (No. 2)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October 1974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41/1974 (115/74)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JTA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Sir James Wicks, C.J. and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Trade dispute – Employees of Community – Industrial Court must apply laws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partner states.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Trade dispute – Railways Corporation – Major alterations of terms of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employment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may only be made by Communications Council – Council a proper party to proceedings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before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Industrial Court – East African Railways Corporation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18),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13.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Prerogative Orders – Certiorari – Necessity for order must be shown.</w:t>
      </w:r>
    </w:p>
    <w:p w:rsidR="009B079F" w:rsidRDefault="003F062C" w:rsidP="003F06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F062C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This is an appeal from a decision of the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of Kenya refusing an order of certiorari to remove into that court and quash a decision of the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East African Industrial Court.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proceedings in the Industrial Court were between the Railway African Union (Kenya), the</w:t>
      </w:r>
    </w:p>
    <w:p w:rsidR="003F062C" w:rsidRDefault="009B079F" w:rsidP="003F06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Railway African Union (Uganda) and the National Union of Tanganyika Workers, on the one hand,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 African Railways Corporation, on the other. The East African Community, the applicant in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and the present appellant, was not a party to the proceedings in the Industrial Court: Mr.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>, representing the Community, attended those proceedings but as amicus curiae only.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Community has, in Kenya, the capacity of a body corporate by virtue of s. 3 (1) of the Treaty for East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Co-operation Act (Cap. 4).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before the Industrial Court was expressed as follows: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“Failure and/or delay by the Corporation to implement in full a voluntarily negotiated Agreement signed on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21 July 1972 on the Omari Salaries and Terms of Service Report.”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facts are not in dispute and can be stated briefly. A commission, commonly known as the Omari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Commission, was appointed to review the wages and salaries paid to the employees of the Corporation.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due course it made its recommendations. It is not seriously disputed that these, if implemented,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major alterations.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report of the Omari Commission was considered at a series of meetings of the Central Joint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of the Railways. This is a body set up under an agreement, known as the Industrial Relations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Machinery, 1970, made between the Director-General of the Corporation and representatives of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Unions, one of the functions of which is the negotiation of wages and salaries. The Central Joint Council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agreed, subject to certain modifications, with the recommendations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Omari Commission, and chose 1 January 1972, as the date from which they thought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recommendations should be implemented. This agreement was recorded in a memorandum which 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undated but which was apparently signed by all parties on 21 July 1972. It was of this memorandum that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was asked to order implementation.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13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East African Railways Corporation Act (Cap. 18) (to which I shall for brevity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as the Railways Act), major alterations of wages or salaries require to be approved by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Communications Council, an institution established by Articles 53 and 54 of the Treaty for East African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Co-operation. Accordingly, the memorandum of agreement of the Central Joint Council was, on 3 August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1972, sent by the Director-General to the Communications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28 August 1972, the Secretary-General of the Railway African Union (Kenya) wrote to the Kenya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Minister of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formally reporting, under the Trade Disputes Act, the existence of a trade dispute.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of the dispute was said to be: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“Failure and refusal by the Management to implement a voluntarily negotiated agreement signed on 21 July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1972 on the Omari Salaries and Terms of Service Report.”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letter purported to be signed “For and on behalf of East African Railways Trade Unions”.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conciliation meeting was held on 24 October 1972, at which the submission on behalf of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was that it was not at fault, since no decision had yet been taken by the Communications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Council. The conciliator recorded a deadlock. The following day, 25 October, the Minister issued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certificate under r. 7 of the East African Industrial Court (Procedure) Rules </w:t>
      </w:r>
      <w:r>
        <w:rPr>
          <w:rFonts w:ascii="Times New Roman" w:hAnsi="Times New Roman" w:cs="Times New Roman"/>
          <w:color w:val="000000"/>
        </w:rPr>
        <w:lastRenderedPageBreak/>
        <w:t>1970, that the parties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exhausted the disputes machinery provided by the law of Kenya. It should be noted that this showed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the dispute as the Corporation on the one hand and the three Unions on the other.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meanwhile, that is to say, after the existence of a dispute had been reported and before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issued his certificate, the Communications Council had considered the Omari Report and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the Central Joint Council and had approved the proposed salaries for the lower paid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workers, but only with effect from 1 July 1972. At some later stage, the Corporation appears to have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implemented the proposals to some further extent, without the authority of the Communications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heard the parties on 16 and 17 January 1973, and gave a fully reasoned award 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 February 1973.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findings of the Industrial Court were that the Corporation and the Unions had concluded an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agreement, that it had not been ratified by the Communications Council and that the Industrial Court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order its implementation in spite of it not having been ratified. Accordingly, the Industrial Court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directed that the Corporation should implement the “Agreement” in full, with effect from 1 January 1972.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Community applied to the High Court for an order of certiorari to bring up and quash the award.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heard by two judges. They agreed that the application should be dismissed but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reasons: the Chief Justice held that there was no error on the face of the record, while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Singh, J., held that there were errors but that practical considerations made it undesirable for the High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exercise its discretionary power in favour of the Community.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us, 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for the Community, Mr. Wako for the Railway African Union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(Kenya) and the Railway African Union (Uganda)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Ouma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Corporation. The National Union of Tanganyika Workers was unrepresented. Mr.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for the Industrial Court but he did not require to be heard and when we indicated that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did not consider his presence necessary, he withdrew.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the application to the High Court, it was submitted that there were seven errors of law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 on the face of the Industrial Court’s award. Some of these were not pursued in the appeal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others were of minor importance.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 the most important of the alleged errors went to jurisdiction. This was expressed in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supporting the application in a rather curious way. It was alleged that the Industrial Court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unlawfully in entertaining a purported dispute involving the three Unions and the Corporation,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Railway African Union (Uganda) and the National Union of Tanganyika Workers “were not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to the said dispute”. As I have already remarked, the original report of a trade dispute purported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made on behalf of the three Unions and the Minister’s certificate showed all three as parties. When it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argument, the issue intended to be raised was expressed as two questions; whether it was proper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Uganda and Tanganyika Unions to be parties to the dispute and whether the Industrial Court, in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dispute raised under Kenya law, could properly make an award affecting Railway employees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residing and working in Uganda and Tanganyika.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first part of the argument, the Chief Justice said: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must be accepted that the Court [that is, the Industrial Court] has no jurisdiction over employees of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Community and the Corporations who are Kenya Citizens and members of the Railway African Union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(Kenya) when those members are outside Kenya, that is when they are in Uganda or Tanzania. What is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position of Uganda and Tanzania Citizens, members of their respective Unions, who are within Kenya? They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employees of the Community and the Corporations within Kenya. Are not the Uganda and Tanzania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 entitled to be parties to the proceedings in respect of their members within Kenya? I consider that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answer to both these questions is, ‘Yes’ and that all three Unions were properly made parties.”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do not think citizenship enters into the matter: I think the governing consideration 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employees reside and work.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first sight, the proposition that a Uganda or Tanganyika union should be able to represent one of its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stationed in Kenya in a dispute concerning wages and terms of service in Kenya appears an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attractive one, but 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 xml:space="preserve"> suggested that as the Uganda and Tanganyika unions are not registered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under the Trade Unions Act (Cap. 233), they are not entitled to operate as unions in Kenya. This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seem to preclude their being parties, on behalf of their members, to Kenya disputes even though as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corporate bodies they might be able to sue or be sued on their own behalf. However, this is a matter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misjoinder and not of jurisdiction. It was not fully argued and I prefer to express no firm opinion on it.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second part of the argument, the Chief Justice remarked that in the operating of the railways,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single employee of the Corporation might at some time or another be within Kenya and he held,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reason, that the Industrial Court was entitled to order the implementation in full of the Omari Report.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There, with respect, I am unable to agree. Although the Industrial Court is a single, East African, </w:t>
      </w:r>
      <w:r>
        <w:rPr>
          <w:rFonts w:ascii="Times New Roman" w:hAnsi="Times New Roman" w:cs="Times New Roman"/>
          <w:color w:val="000000"/>
        </w:rPr>
        <w:lastRenderedPageBreak/>
        <w:t>court, it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to apply the separate laws of the three Partner States and its jurisdiction to hear any application 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the law of the State in which that application is made. In dealing with an application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under Kenya law, supported by a certificate of the Kenya Minister of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parties to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have exhausted the disputes machinery provided in the Kenya Trade Disputes Act, the Industrial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has, in my view, no jurisdiction to make an award affecting employees residing and working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or Tanganyika.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question of jurisdiction,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J., remarked that it appeared from reports of decided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that the Industrial Court has “all along ignored the law which restricts its jurisdiction”. He held that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not a serious matter, first, because of acquiescence and, secondly, because he thought the law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unworkable. With great respect, I cannot agree. In the first place, acquiescence cannot create jurisdiction.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I am not persuaded that the law is unworkable, although it may be inconvenient. Even if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were unworkable, it would not justify a tribunal assuming a jurisdiction it did not possess.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 have said on this subject does not mean that a matter such as the report of the Omari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could not be dealt with by the Industrial Court in relation to all three countries. If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had been instituted in all three countries in accordance with the laws of those countries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machinery of conciliation had been exhausted in all of them, I see no reason why the three disputes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consolidated for hearing, as a matter of convenience and with the consent of all parties.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would, of course, have to keep in mind the separate laws of those countries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have to qualify its award in respect of one or more or even make three separate awards, because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proper and reasonable in one country might be unlawful in another. In the present case, however,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suggestion that trade disputes had been initiated in Uganda or Tanganyika and no allegation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machinery of conciliation had been exhausted in either.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think, however, that this excess of jurisdiction concerned the High Court of Kenya, since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Court undoubtedly had jurisdiction as regards Kenya, and I do not think the Kenya court was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any duty to quash the award merely because it was, or may have been, a nullity in Uganda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Tanganyika for lack of jurisdiction. The position would have been very different had the application been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the High Court of Uganda or that of Tanzania, where it would have been more likely to have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allowed. This aspect of the matter was not argued before us, but it is one that I think we may,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must, take into consideration.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is a rather curious one. On an application for certiorari, a court may quash or refuse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quash a decision, but it may not vary it or substitute its own decision. In </w:t>
      </w:r>
      <w:r>
        <w:rPr>
          <w:rFonts w:ascii="Times New Roman" w:hAnsi="Times New Roman" w:cs="Times New Roman"/>
          <w:i/>
          <w:iCs/>
          <w:color w:val="000000"/>
        </w:rPr>
        <w:t>East African Community v.</w:t>
      </w:r>
      <w:r w:rsidR="003F062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Railway African Union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>), [1973] E.A. 529, this court held that the High Court of Kenya has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quash an award of the Industrial Court but such an order would not, of course, run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or Tanganyika. An award might, therefore, stand quashed in one or two of the partner states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remaining operative in the others or other.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major issue was expressed, again not strictly accurately, in the statement supporting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as a complaint against the Industrial Court purporting to make an award “embodying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Omari Report” before the Report was approved by the Communications Council. I say “not strictly”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award did not purport to embody the Report but to enforce an agreement embodying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Report, and that again, as the Chief Justice pointed out, was not accurate, because the so-called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modified the Report.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think, with respect, that not enough attention was given to the nature of this so-called agreement.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that I shall give, I think it was neither more nor less than a memorandum of agreed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recommendations to the Communications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connection, it is necessary to look at the powers conferred by the Railways Act. S. 11 provides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subject to the directions of the Board of Directors, the Director-General may: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approve any alteration in salaries, wages or other terms and conditions of service of employees of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Corporation not involving expenditure in excess of the limits determined by the Board”.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12 provides that, subject to any directions of a general nature which may be given to it by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Communications Council, the Board may: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approve any minor alteration in salaries, wages or other terms and conditions of service of employees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Corporation.”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13 provides that the Communications Council may: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approve any major alterations in salaries, wages or other terms and conditions of service of employees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Corporation.”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quoted these three paragraphs because some consideration was given both in the Industrial Court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more particularly in the High Court, to the meaning of the word “approve” as used in s. 13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 considered it in relation to the question whether the Communications Council could amend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proposed alterations of salary and concluded that it could not. He considered the meanings given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word “approve” in the Oxford Dictionary and interpreted it in the </w:t>
      </w:r>
      <w:r>
        <w:rPr>
          <w:rFonts w:ascii="Times New Roman" w:hAnsi="Times New Roman" w:cs="Times New Roman"/>
          <w:color w:val="000000"/>
        </w:rPr>
        <w:lastRenderedPageBreak/>
        <w:t>context of the wide general powers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Communications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see the matter differently. When it is borne in mind that the word “approve” is used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powers of the Director-General and of the Board, within their limited authority, in relation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alterations of wages and salaries, just as it is for the Communications Council, I think the word must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signify the taking of the effective or operative decision. I think it is synonymous with “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>”. It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mean the mere confirmation or ratification of an agreement arrived at by others.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confirmed in this opinion by the terms of s. 14 (3) of the Railways Act, which indicates that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 procedure in relation to paras.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s. 13 is for the Board to make proposals and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Communications Council to make decisions.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it would have been ultra vires the Director-General or the Board to enter into any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of a binding nature regarding major alterations of wages or salaries. Therefore there was,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opinion, no agreement capable of being enforced. In this connection, Mr. Wako drew our attention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definition of “collective agreement” in the Trade Disputes Act, and particularly to the words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“whether or not enforceable in law”. With respect, I am not persuaded that this is of any relevance.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“collective agreement” appears to be used almost exclusively in relation to the requirement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and it may not be without significance that there has never been any suggestion in these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that the so-called agreement sought to be enforced was either registered or registrable. In any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I think the words “whether or not enforceable in law” must relate to such matters as lack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consideration: I do not think they can possibly render enforceable a purported agreement made by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 having no authority to make it. One has only to </w:t>
      </w:r>
      <w:proofErr w:type="spellStart"/>
      <w:r>
        <w:rPr>
          <w:rFonts w:ascii="Times New Roman" w:hAnsi="Times New Roman" w:cs="Times New Roman"/>
          <w:color w:val="000000"/>
        </w:rPr>
        <w:t>magine</w:t>
      </w:r>
      <w:proofErr w:type="spellEnd"/>
      <w:r>
        <w:rPr>
          <w:rFonts w:ascii="Times New Roman" w:hAnsi="Times New Roman" w:cs="Times New Roman"/>
          <w:color w:val="000000"/>
        </w:rPr>
        <w:t xml:space="preserve"> an “agreement” of this kind entered into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junior official to see how absurd this would be.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I am right in thinking that the so-called agreement was a memorandum of agreed recommendations,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see how the Industrial Court could order its implementation. The Industrial Court itself appears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accepted without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that there was a valid agreement and treated the proceedings as analogous to an action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performance of a contract. In the High Court, the judges approached the issue differently.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J., held that it was beyond the power or authority of the Corporation or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Director-General to “agree” to any major alterations and therefore that the Industrial Court had no power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implement the “agreement”. With that view, I respectfully agree.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avoided this issue. He said: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any case the Court was not implementing the Omari Report. It was resolving a dispute by making its own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award. The fact that it took into account evidence properly in front of it in the form of the Report and framed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award so as to include a reference to that report, cannot possibly amount to an error of law. Indeed, in my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view the Court was doing exactly that for which it was constituted.”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respect, I cannot agree. The contents of the Report were not in issue and were not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argued. The Industrial Court only looked at them, as far as I can see, to satisfy itself that its award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offend against the principles laid down for it by the Authority. All that it was asked to do was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 an “agreement” and that is all that it purported to do.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Where, with respect, the Industrial Court went wrong, was in concentrating its attention on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Relations Machinery 1970, which is nothing more than an agreement inter parts regulating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of negotiation, and losing sight of the Railways Act, which is law in all three partner states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prevail over any agreements. This led it to look for the ratification of an agreement, the wording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Relations Machinery 1970, instead of the approval of alterations, the wording of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Railways Act. It the Industrial Court had begun with the provisions of the Act, it would have been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 that the Board had no power to make any binding and enforceable agreement for a major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of salaries and wages. If the Board purported to make any such agreement, I think it was ultra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vires, but I am by no means persuaded that there was any such intention. I think the Board was at all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times conscious of the need for the approval of the Communications Council and that the so-called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was in fact agreed proposals to be put to the Communications Council for its decision.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Here, again, I think there was a clear error of law on the face of the award. Having found errors of law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these two major questions, I do not think it necessary to consider the other, minor, errors of law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alleged. I must, however, mention another matter. There runs through all these proceedings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suggestion of a basic conflict between the Communications Council and the Industrial Court. I think this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entirely misconceived. Their functions are different: the one is executive, the other quasi-judicial.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there is no dispute and, where a dispute arises, until the machinery of conciliation has been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exhausted, the Communications Council is the only body capable of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major alterations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wages and salaries. Where there is a dispute, and the machinery of reconciliation has been exhausted,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dispute has been referred to the Industrial Court, that court has exclusive jurisdiction. I do not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consider, however, that the Industrial Court can properly consider a dispute involving major alterations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giving the Communications Council an opportunity of being heard. Mr. Wako argued that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is between employer and employees, and that the Corporation is the employer: he submitted that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is not concerned with the relationship between the Communications Council and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Corporation. With respect, I reject that argument. The position of the Communications Council is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one and the Industrial Court cannot ignore it. Here again, there was an error of law on the face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award, although it was not specifically argued as such before us.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Court took the stand that, once it had jurisdiction, it could disregard the Communications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Council. I think this was wrong, and that in purporting to enforce an agreement which required, but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received, the approval of the Council, the Industrial Court was usurping the function of the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Industrial Court was proceeding on the basis of an agreement, I think the approval of the Council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essential. If the proceedings were not based on agreement, I think the Council was entitled to be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turn now to what is, perhaps, the more difficult problem. All prerogative orders are matters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discretion. It is therefore necessary to consider how far the judges of the High Court were exercising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discretion in refusing the application, because this Court will only interfere with the exercise of a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discretion where the court below has misdirected itself, or taken into account matters which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have been taken into account, or failed to consider matters which should have been taken into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and has, as a result, arrived at a wrong decision. Moreover, even if this Court were to decide that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had been at fault in the exercise of its discretion, we should still have to exercise our own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discretion, after considering all the circumstances, whether we should direct that an order of certiorari be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said, the Chief Justice based his decision on his finding that there was no error of law on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 of the record. He did, however, make two findings that are relevant to the exercise of discretion.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First, he held, relying on </w:t>
      </w:r>
      <w:r>
        <w:rPr>
          <w:rFonts w:ascii="Times New Roman" w:hAnsi="Times New Roman" w:cs="Times New Roman"/>
          <w:i/>
          <w:iCs/>
          <w:color w:val="000000"/>
        </w:rPr>
        <w:t xml:space="preserve">R. v. Lord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Newborough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(1869), L.R. 4 Q.B. 585, that to order certiorari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“a mischievous act” because it would mean that part of the wages paid to employees would have to be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repaid. With respect, a demand for repayment would have been a possible but not a necessary result;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indeed, 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>, without giving any undertaking, indicated that if an order were made now, repayment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might not be demanded. Also, the </w:t>
      </w:r>
      <w:r>
        <w:rPr>
          <w:rFonts w:ascii="Times New Roman" w:hAnsi="Times New Roman" w:cs="Times New Roman"/>
          <w:i/>
          <w:iCs/>
          <w:color w:val="000000"/>
        </w:rPr>
        <w:t xml:space="preserve">Lord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Newborough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can be distinguished, because it related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payments that had been made, whereas in the present case, the award relates to future as well as past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Chief Justice said that he would have refused the application on the ground that other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remedies were available to the Communications Council. He referred to s. 14 (3) of the Railways Act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para. 9 of Part B of Annex XIII to the Treaty. I do not, with respect, think that either could be invoked,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former is only available to the Board, while the latter relates only to disputes on the question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an alteration is major or minor. Mr. Wako suggested that paras. 7 and 8 of Part B might provide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remedy, but, with respect, I do not think they would enable the Authority to reverse a decision of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Court, certainly not immediately or directly.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J., while of the opinion that the Industrial Court had acted outside its jurisdiction,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that the High Court should exercise its discretion and reject the application for four reasons.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of these, with respect, I would reject. The judge thought that the alterations, which had been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recommended by a Commission after thorough investigation, were not unmerited; but there had been no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on the merits of the proposed alterations. He thought it was only a matter of time before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Communications Council concurred in them: that was supposition, and has not been justified in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event. He thought that the excess of jurisdiction was not serious: I have already commented on that.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factor that influenced the judge was the possibility that the quashing of the award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to a major disruption of the railway system in East Africa. This argument was developed before us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Mr. Wako and even more strongly by Mr. </w:t>
      </w:r>
      <w:proofErr w:type="spellStart"/>
      <w:r>
        <w:rPr>
          <w:rFonts w:ascii="Times New Roman" w:hAnsi="Times New Roman" w:cs="Times New Roman"/>
          <w:color w:val="000000"/>
        </w:rPr>
        <w:t>Ouma</w:t>
      </w:r>
      <w:proofErr w:type="spellEnd"/>
      <w:r>
        <w:rPr>
          <w:rFonts w:ascii="Times New Roman" w:hAnsi="Times New Roman" w:cs="Times New Roman"/>
          <w:color w:val="000000"/>
        </w:rPr>
        <w:t>, who suggested that the whole economy of East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Africa might be </w:t>
      </w:r>
      <w:proofErr w:type="spellStart"/>
      <w:r>
        <w:rPr>
          <w:rFonts w:ascii="Times New Roman" w:hAnsi="Times New Roman" w:cs="Times New Roman"/>
          <w:color w:val="000000"/>
        </w:rPr>
        <w:t>imperilled</w:t>
      </w:r>
      <w:proofErr w:type="spellEnd"/>
      <w:r>
        <w:rPr>
          <w:rFonts w:ascii="Times New Roman" w:hAnsi="Times New Roman" w:cs="Times New Roman"/>
          <w:color w:val="000000"/>
        </w:rPr>
        <w:t>. This is obviously a serious consideration but I must say that I think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 was exaggerated. If the award were quashed, it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be for the Communications Council and ultimately for the Authority to decide whether and to what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to implement the Omari Report. This is a matter of executive action and not of law: there would,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far as I can see, be nothing illegal or improper in the Communications Council approving all or any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proposed alterations with retroactive effect. If a decision were taken quickly, there might be no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disruption.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circumstances, I think it would be open to us to reverse the decision of the High Court.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 part, I am not disposed to do </w:t>
      </w:r>
      <w:r>
        <w:rPr>
          <w:rFonts w:ascii="Times New Roman" w:hAnsi="Times New Roman" w:cs="Times New Roman"/>
          <w:color w:val="000000"/>
        </w:rPr>
        <w:lastRenderedPageBreak/>
        <w:t>so, for the following reason. The onus is on a person seeking one of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prerogative orders to show that it is necessary: these are not orders that are lightly made. The onus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becomes particularly heavy when an appellate court is asked to make such an order after it has been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by the court of first instance. When dealing with the suggestion that the quashing of the award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lead to disruption and chaos, Mr. </w:t>
      </w:r>
      <w:proofErr w:type="spellStart"/>
      <w:r>
        <w:rPr>
          <w:rFonts w:ascii="Times New Roman" w:hAnsi="Times New Roman" w:cs="Times New Roman"/>
          <w:color w:val="000000"/>
        </w:rPr>
        <w:t>Sebula</w:t>
      </w:r>
      <w:proofErr w:type="spellEnd"/>
      <w:r>
        <w:rPr>
          <w:rFonts w:ascii="Times New Roman" w:hAnsi="Times New Roman" w:cs="Times New Roman"/>
          <w:color w:val="000000"/>
        </w:rPr>
        <w:t xml:space="preserve"> indicated that the authorities concerned might not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 any repayments and might not reduce any wages or salaries. This is a most reasonable attitude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it does not seem to me to justify the quashing of the award. It is now eighteen months since the award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made and it seems strange that no final decision has yet been taken by the Communications Council.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it appears that it is at least possible that the decision may be such that the quashing of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 would have no practical consequences. If that is so, I do not think an order of certiorari should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issue. 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the Community wanted the award quashed and then to be free to take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advantage of it or not: that is not showing that the order is necessary, and unless it is necessary, it should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in my opinion, be granted.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dismiss the appeal.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application was made for costs in the High Court, but all parties asked for costs of the appeal. 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view of the appeal, the Community has been wholly successful on the issues of law but it has failed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the order it sought. The respondents have succeeded in the event, but not for the reasons they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advanced. I would order that each party do bear its own costs.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other members of the Court agree, it is so ordered.</w:t>
      </w:r>
    </w:p>
    <w:p w:rsidR="009B079F" w:rsidRDefault="009B079F" w:rsidP="003F06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facts in this appeal have been fully set out in the judgment of Spry, Ag. P., which I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had the advantage of reading in draft. I will be very brief.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 African Community applied to the High Court of Kenya comprised of two judges, Wicks,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C.J. and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J., for an order of certiorari to bring up and quash an award made by the East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Industrial Court. The dispute was between the three Unions, (1) the Railway African Union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(Kenya), (2) the Railway African Union (Uganda), (3) the National Union of Tanganyika Workers on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hand, and the East African Railways Corporation on the other, and the Industrial Court heard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and made an award on 8 February 1973.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to this hearing by the Industrial Court, a commission, known as the Omari Commission,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a report in respect of wages and salaries payable to the employees of the Corporation.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representatives of the Unions and the Corporation met as the Central Joint Council of the Railways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with the main recommendations of the Omari Report. However, it is common ground that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recommendations of the Omari Commission constituted major alterations in the wages and salaries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structure and would require approval by the Communications Council, a body established by the Treaty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East African Co-operation. The Director-General of the Corporation duly forwarded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agreement of the Central Joint Council to the Communications Council for its approval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3 August 1972.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Communications Council had dealt with the matter the Kenya Railway Union had reported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trade dispute, under the Kenya Trades Dispute Act, on 28 August 1972. On 25 October 1972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Minister of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of Kenya issued a certificate certifying that the three Unions and the Corporation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exhausted the machinery for settling disputes and the Industrial Court was seized of the matter.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subject of the dispute reported to the Kenya Minister of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and referred to the Industrial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stated to be: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“failure and refusal by the Management to implement a voluntarily negotiated agreement signed on 21 July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1972 on the Omari’s Salaries and Terms of Service Report”.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in effect found that the Unions and the Corporation had entered into an agreement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however had not been ratified by the Communications Council but that in its stead the Industrial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could do so, once it was seized of the matter, and thereupon ordered the parties to implement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as from 1 January 1972.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 xml:space="preserve"> for the Community has submitted that there were errors apparent on the face of the award.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deal with the main ones.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The Industrial Court purported to “enforce” or “implement” an “agreement” embodying the Omari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report. As stated earlier the Corporation had to obtain “approval” from the Communications Council in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major alterations to the salaries and wages structure. No such approval had been obtained.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Corporation could not enter into any binding contract until it had obtained such approval. What it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agreed at the Central Joint Council was only a conditional agreement, conditional on approval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Communications Council being obtained. Here “approval” does not merely mean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“ratification”, which is the word used in a document known as the Industrial Relations Machinery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1970. This document is not a statutory instrument, and cannot modify the statutory provisions of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East African Railways Corporation Act (Cap. 18). The word “approve” is used in ss. 11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), 12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13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and the word in these sections is used in an active sense, and would connote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“sanction”, or 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”; not merely in a passive sense to “ratify” something which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has been done. In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view there existed no concluded agreement which was capable of being enforced or implemented;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purported “agreement” merely contained agreed recommendations submitted to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Communications Council for it to “approve”. I do not think that the definition of “collective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agreement” in the Trades Dispute Act of Kenya is of help. That must presuppose a concluded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agreement, where both the parties have finally agreed. It cannot refer to an incomplete agreement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has not been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Industrial Court did not make its own award, nor did it, after full and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enquiry into its merits, adopt the Omari report as its award, but purported to implement an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“agreement”.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process of being negotiated as a “free and voluntarily negotiated agreement”.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my view this was an error on the face of the award.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Sebalu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also submitted that the Industrial Court purported to make an award concerning a trade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dispute referred to it by a Kenya Minister in accordance with Kenya laws and affecting union outside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Kenya, i.e. unions in Uganda and Tanzania. I would in this connection refer to a previous decision of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Court,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East African Community v. Railway African Union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Kenya</w:t>
      </w:r>
      <w:r>
        <w:rPr>
          <w:rFonts w:ascii="Times New Roman" w:hAnsi="Times New Roman" w:cs="Times New Roman"/>
          <w:color w:val="000000"/>
          <w:sz w:val="20"/>
          <w:szCs w:val="20"/>
        </w:rPr>
        <w:t>) [1973] E.A. 529, where it was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decided that when the East African Industrial Court sits in Kenya and deals with a trade dispute under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law it acts as and has the powers of a Kenya Industrial Court, but its jurisdiction is restricted to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of the Community or Corporations residing and working within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confines of Kenya. It has no jurisdiction to deal with such employees outside Kenya; those have to be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dealt with according to the laws of the partner states in which they reside and work. In this case the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Industrial Court exceeded its jurisdiction when it purported to deal with the unions in Uganda and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Tanzania, and is another error, and this error goes to jurisdiction.</w:t>
      </w:r>
      <w:r w:rsidR="003F06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not propose to deal with the other grounds of complaint since the appellant has made out a case for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making of the order asked for.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great respect I am unable to agree with the Chief Justice when he held that there was no error 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face of the proceedings.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J. held that there were errors, but he exercised his discretion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refusing to grant the application. He gave several reasons for the refusal. With respect I think only one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reasons is good, the one which concerns “administrative chaos and public inconvenience”.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Chief Justice found that there was no error, he also referred to a “mischievous act”; thus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judges in the High Court were concerned about the serious consequences flowing from the grant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order.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of certiorari is a discretionary order. Although in effect only one of the two judges had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his discretion in refusing the order, any action to interfere with the exercise of that discretion 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lightly taken.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respondents have submitted that very grave consequences and industrial unrest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disruption would result from granting the order. I myself am not greatly impressed by this argument. It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seems that more than 80 per cent of the staff, especially the lower paid staff, have been paid in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the recommendations, which the Communications Council had approved, and it is not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 probable that a refund would be demanded from these employees after the lapse of such a long time.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 there would be nothing to prevent the Communications Council form approving all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recommendations contained in the “agreement”, should that be necessary to avoid industrial disruption. I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thought that the Communications Council, in its role as a branch of the executive, would be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more qualified, informed and equipped than a Court to assess and ward off any potential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unrest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disruption. I would not accept that as a compelling reason to refuse the order.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appeal Mr. </w:t>
      </w:r>
      <w:proofErr w:type="spellStart"/>
      <w:r>
        <w:rPr>
          <w:rFonts w:ascii="Times New Roman" w:hAnsi="Times New Roman" w:cs="Times New Roman"/>
          <w:color w:val="000000"/>
        </w:rPr>
        <w:t>Sebalu</w:t>
      </w:r>
      <w:proofErr w:type="spellEnd"/>
      <w:r>
        <w:rPr>
          <w:rFonts w:ascii="Times New Roman" w:hAnsi="Times New Roman" w:cs="Times New Roman"/>
          <w:color w:val="000000"/>
        </w:rPr>
        <w:t xml:space="preserve"> seemed to suggest that although he could not personally give any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undertaking, it is not impossible that the Communications Council might not enforce repayment from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Corporation’s employees. There was also a statement from the Bar that further increases in salaries and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wages are being formulated and submitted for negotiation and settlement. It seems to me that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would be more concerned with the clarification of the issues involved than with its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to recover money from the Corporation’s employees. The appellant would appear to want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granted and the award of the Industrial Court quashed, and then the appellant would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 what steps to take. That does not appear to me to indicate any urgency or necessity for the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quashing of the order. The onus lies with an applicant seeking the grant of a prerogative order to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that it is essential for it to issue. In my view the appellant has not discharged the onus in this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and I do not think that we should exercise our discretion in favour of the appellant.</w:t>
      </w:r>
      <w:r w:rsidR="003F062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concur in the order of the Acting President.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agree.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Sebalu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(Counsel to the Community) and </w:t>
      </w:r>
      <w:r>
        <w:rPr>
          <w:rFonts w:ascii="Times New Roman" w:hAnsi="Times New Roman" w:cs="Times New Roman"/>
          <w:i/>
          <w:iCs/>
          <w:color w:val="000000"/>
        </w:rPr>
        <w:t xml:space="preserve">DM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Wekesa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(Principal Assistant Counsel)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and second respondents: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SA Wako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p w:rsidR="009B079F" w:rsidRDefault="009B079F" w:rsidP="009B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fourth respondent:</w:t>
      </w:r>
    </w:p>
    <w:p w:rsidR="003278A0" w:rsidRDefault="009B079F" w:rsidP="009B079F">
      <w:r>
        <w:rPr>
          <w:rFonts w:ascii="Times New Roman" w:hAnsi="Times New Roman" w:cs="Times New Roman"/>
          <w:i/>
          <w:iCs/>
          <w:color w:val="000000"/>
        </w:rPr>
        <w:t xml:space="preserve">AO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9F"/>
    <w:rsid w:val="003278A0"/>
    <w:rsid w:val="003F062C"/>
    <w:rsid w:val="009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101E-D071-4B17-97FB-9F6D5A74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5499</Words>
  <Characters>31347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2018-07-06T11:57:00Z</dcterms:created>
  <dcterms:modified xsi:type="dcterms:W3CDTF">2018-07-12T11:16:00Z</dcterms:modified>
</cp:coreProperties>
</file>