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East African Development Bank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Blueline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Enterprises Limited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May 2006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130/05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Admissibility of tape recordings – Exceptions to admissibility of relevant material –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Standard of proof of prosecution to prove admissibility of tape recording – Duty to keep original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recording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safe custody at all times.</w:t>
      </w:r>
    </w:p>
    <w:p w:rsidR="005E08E9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5E08E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5E08E9" w:rsidRDefault="005E08E9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E08E9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was awarded USD 275 099 and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161 000 as costs by the Taxing Officer. The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applicant, being dissatisfied, filed a reference in the High Court on 9 August 2004. The court however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reduced the costs slightly to USD 180 000 and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161 000. Still dissatisfied, the applicant filed a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and this application for stay of execution.</w:t>
      </w:r>
      <w:r w:rsidR="005E08E9">
        <w:rPr>
          <w:rFonts w:ascii="Times New Roman" w:hAnsi="Times New Roman" w:cs="Times New Roman"/>
          <w:color w:val="000000"/>
        </w:rPr>
        <w:t xml:space="preserve"> </w:t>
      </w:r>
    </w:p>
    <w:p w:rsidR="005E08E9" w:rsidRDefault="005E08E9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intended appeal is with regard to the costs as awarded by the Taxing Officer. The position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is different from the situation in which stay of execution is sought pending hearing and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an intended appeal against judgment and decree.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guiding principles in applications for stay are well settled. However, the application of these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guiding principles would depend on the individual circumstances and merit of each case. The individual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each case would determine whether the case falls within the scope and parameters of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of the laid down principles.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factors to be considered in an application for stay of execution is whether the outcome of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if successful would be rendered nugatory if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is not stayed. (</w:t>
      </w:r>
      <w:r>
        <w:rPr>
          <w:rFonts w:ascii="Times New Roman" w:hAnsi="Times New Roman" w:cs="Times New Roman"/>
          <w:i/>
          <w:iCs/>
          <w:color w:val="000000"/>
        </w:rPr>
        <w:t xml:space="preserve">Tanzania Cotton Marketing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Cogecot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</w:t>
      </w:r>
      <w:r>
        <w:rPr>
          <w:rFonts w:ascii="Times New Roman" w:hAnsi="Times New Roman" w:cs="Times New Roman"/>
          <w:color w:val="000000"/>
        </w:rPr>
        <w:t>SA [1997] TLR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63; </w:t>
      </w:r>
      <w:r>
        <w:rPr>
          <w:rFonts w:ascii="Times New Roman" w:hAnsi="Times New Roman" w:cs="Times New Roman"/>
          <w:i/>
          <w:iCs/>
          <w:color w:val="000000"/>
        </w:rPr>
        <w:t>Tanzania Electrical Supply Company and others v Independent Power Tanzania Limited</w:t>
      </w:r>
      <w:r w:rsidR="005E08E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consolidated civil applications numbers 10 and 22 of 1997 (UR) followed).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outcome of the appeal would not be rendered nugatory if stay of execution is not granted. The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pertains to costs after the decision of the High Court was passed in favour of the respondent. Costs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indisputably follow the event in favour of the winning party, the respondent in this case. Whatever the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outcome of the intended appeal against the decision of the High Court following the taxation of the bill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costs by the Taxing Officer, the applicant cannot escape paying some costs incurred by the winning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in prosecuting the case to the stage of taxation of bill of costs. The appeal if successful would in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event only affect the quantum of the costs and not exoneration from payment of costs. In that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 the outcome of the appeal would not be rendered nugatory.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guiding factor relating to substantial loss to be incurred if stay of execution is not granted relates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loss that would follow from the execution of the judgment and decree and not from costs on bill of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taxation as in this case. These as already indicated are costs that a winning party is entitled to be paid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suit or petition is over.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the instruction fees are not sustained on appeal, payment of some costs cannot be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avoided all together in favour of the winning party. This is because it is common knowledge that costs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the event, irrespective of whether or not the matter arose from a suit or a petition. In the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it would be prudent to stay payment of costs until the intended appeal against costs is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and determined. Upon the determination, the applicant would be certain of the amount involved in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costs, if any.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Thereia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Maria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10 of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1991 (UR),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Ravindra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 Desai and another v Co-operative and Rural Development Bank </w:t>
      </w:r>
      <w:r>
        <w:rPr>
          <w:rFonts w:ascii="Times New Roman" w:hAnsi="Times New Roman" w:cs="Times New Roman"/>
          <w:color w:val="000000"/>
        </w:rPr>
        <w:t>civil reference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 and 3 of 1996 (UR) applied).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sufficiently good reason for granting stay of execution. There is an appeal pending in this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against the very decision of the learned Judge on costs which is sought to be stayed. Granting stay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 would be in the interests of justice rather than carrying on the execution process pertaining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costs in which there is some uncertainty. Having regard to the circumstances of the case, </w:t>
      </w:r>
      <w:r>
        <w:rPr>
          <w:rFonts w:ascii="Times New Roman" w:hAnsi="Times New Roman" w:cs="Times New Roman"/>
          <w:color w:val="000000"/>
        </w:rPr>
        <w:lastRenderedPageBreak/>
        <w:t>the balance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convenience and common sense tilts in favour of the applicant to grant stay of execution.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granted.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Ignazio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Mesina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National Shipping Agencies v Willow Investment and Costa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Shinyanga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number 8 of 1999 (UR)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Kuljeet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Naha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Indevjeet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Nahal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90 of 1998</w:t>
      </w:r>
    </w:p>
    <w:p w:rsidR="00765BCD" w:rsidRPr="005E08E9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Ravindra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 Desai and another v Co-operative and Rural Development Bank </w:t>
      </w:r>
      <w:r>
        <w:rPr>
          <w:rFonts w:ascii="Times New Roman" w:hAnsi="Times New Roman" w:cs="Times New Roman"/>
          <w:color w:val="000000"/>
        </w:rPr>
        <w:t>civil reference number 2</w:t>
      </w:r>
      <w:r w:rsidR="005E08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3 of 1996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Stanbic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Tanzania Limited v Woods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Tanzabia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civil application number 196 of 2001 (UR)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Tanzania Cotton Marketing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Cogecot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SA </w:t>
      </w:r>
      <w:r>
        <w:rPr>
          <w:rFonts w:ascii="Times New Roman" w:hAnsi="Times New Roman" w:cs="Times New Roman"/>
          <w:color w:val="000000"/>
        </w:rPr>
        <w:t xml:space="preserve">[1997] TLR 63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65BCD" w:rsidRPr="005E08E9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Tanzania Electrical Supply Company and others v Independent Power Tanzania Limited Consolidated</w:t>
      </w:r>
      <w:r w:rsidR="005E08E9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civil applications numbers 10 and 22 of 1997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Tanzania Tele Communications Company Limited v MIC Tanzania Limited </w:t>
      </w:r>
      <w:r>
        <w:rPr>
          <w:rFonts w:ascii="Times New Roman" w:hAnsi="Times New Roman" w:cs="Times New Roman"/>
          <w:color w:val="000000"/>
        </w:rPr>
        <w:t>civil application number 125</w:t>
      </w:r>
    </w:p>
    <w:p w:rsidR="00765BCD" w:rsidRDefault="00765BCD" w:rsidP="00765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2002 (UR)</w:t>
      </w:r>
    </w:p>
    <w:p w:rsidR="00AB7022" w:rsidRDefault="00765BCD" w:rsidP="00765BCD">
      <w:proofErr w:type="spellStart"/>
      <w:r>
        <w:rPr>
          <w:rFonts w:ascii="Times New Roman" w:hAnsi="Times New Roman" w:cs="Times New Roman"/>
          <w:i/>
          <w:iCs/>
          <w:color w:val="000000"/>
        </w:rPr>
        <w:t>Zacharia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Thereia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Maria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10 of 1991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CD"/>
    <w:rsid w:val="005E08E9"/>
    <w:rsid w:val="00765BCD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60016-FCC7-4935-A6E5-1E205E0F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2018-07-05T06:06:00Z</dcterms:created>
  <dcterms:modified xsi:type="dcterms:W3CDTF">2018-07-12T11:17:00Z</dcterms:modified>
</cp:coreProperties>
</file>