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9A" w:rsidRDefault="0092449A" w:rsidP="0092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East African Development Bank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Blueline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Enterprises Limited</w:t>
      </w:r>
    </w:p>
    <w:p w:rsidR="0092449A" w:rsidRDefault="0092449A" w:rsidP="0092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92449A" w:rsidRDefault="0092449A" w:rsidP="0092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May 2006</w:t>
      </w:r>
    </w:p>
    <w:p w:rsidR="0092449A" w:rsidRDefault="0092449A" w:rsidP="0092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130/05</w:t>
      </w:r>
    </w:p>
    <w:p w:rsidR="0092449A" w:rsidRDefault="0092449A" w:rsidP="0092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Lubuva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92449A" w:rsidRDefault="0092449A" w:rsidP="0092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2449A" w:rsidRDefault="0092449A" w:rsidP="0092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92449A" w:rsidRDefault="0092449A" w:rsidP="0092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Admissibility of tape recordings – Exceptions to admissibility of relevant material –</w:t>
      </w:r>
    </w:p>
    <w:p w:rsidR="0092449A" w:rsidRDefault="0092449A" w:rsidP="0092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Standard of proof of prosecution to prove admissibility of tape recording – Duty to keep original</w:t>
      </w:r>
    </w:p>
    <w:p w:rsidR="0092449A" w:rsidRDefault="0092449A" w:rsidP="0092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recording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safe custody at all times.</w:t>
      </w:r>
    </w:p>
    <w:p w:rsidR="0092449A" w:rsidRDefault="000979D9" w:rsidP="000979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92449A" w:rsidRDefault="0092449A" w:rsidP="000979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Lubuva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In this application, the applicant, East African Development Bank, is seeking an order that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execution of the order of the High Court (</w:t>
      </w:r>
      <w:proofErr w:type="spellStart"/>
      <w:r>
        <w:rPr>
          <w:rFonts w:ascii="Times New Roman" w:hAnsi="Times New Roman" w:cs="Times New Roman"/>
          <w:color w:val="000000"/>
        </w:rPr>
        <w:t>Mihayo</w:t>
      </w:r>
      <w:proofErr w:type="spellEnd"/>
      <w:r>
        <w:rPr>
          <w:rFonts w:ascii="Times New Roman" w:hAnsi="Times New Roman" w:cs="Times New Roman"/>
          <w:color w:val="000000"/>
        </w:rPr>
        <w:t xml:space="preserve"> J) of 23 August 2005 in reference on taxation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miscellaneous civil cause number 307 of 2001 be stayed pending the determination of the intended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to this Court.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this application,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Lyimo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Makani</w:t>
      </w:r>
      <w:r>
        <w:rPr>
          <w:rFonts w:ascii="Times New Roman" w:hAnsi="Times New Roman" w:cs="Times New Roman"/>
          <w:color w:val="000000"/>
        </w:rPr>
        <w:t xml:space="preserve">, learned Counsel, appeared for the applicant,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T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Kalunga</w:t>
      </w:r>
      <w:proofErr w:type="spellEnd"/>
      <w:r>
        <w:rPr>
          <w:rFonts w:ascii="Times New Roman" w:hAnsi="Times New Roman" w:cs="Times New Roman"/>
          <w:color w:val="000000"/>
        </w:rPr>
        <w:t>, learned Counsel appeared for the respondent. In support of the application an affidavit duly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sworn by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Makani </w:t>
      </w:r>
      <w:r>
        <w:rPr>
          <w:rFonts w:ascii="Times New Roman" w:hAnsi="Times New Roman" w:cs="Times New Roman"/>
          <w:color w:val="000000"/>
        </w:rPr>
        <w:t>was filed.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background giving rise to the case is straightforward. In miscellaneous civil case number 324 of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 the taxing officer SA Lila on sixth awarded to the respondent, Blue Line Enterprises Limited, costs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USD 275 099 and Tanzania Shillings 161 000. The applicant was dissatisfied and hence an application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reference before a judge of the High Court was filed on 9 August 2004. The ground of complaint was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costs awarded were excessive and contrary to the law. In his ruling, the learned Judge while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sustaining the costs awarded by the taxing officer, partly allowed some adjustment. The respondent was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awarded USD 180 000 and Tanzania Shillings 161 000. Still, the applicant was dissatisfied and so notice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 to this Court was filed. Pending hearing and determination of the intended appeal, this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stay of execution was filed.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support of the application,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Makani</w:t>
      </w:r>
      <w:r>
        <w:rPr>
          <w:rFonts w:ascii="Times New Roman" w:hAnsi="Times New Roman" w:cs="Times New Roman"/>
          <w:color w:val="000000"/>
        </w:rPr>
        <w:t>, learned Counsel, made submissions, the essence of which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as follows. Firstly, that an important point of law was involved for consideration of the Court of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 The point of law is whether it was proper for the High Court to peg the instruction fees on the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 award while the reliefs sought were declaratory and no monitory amount was involved.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Secondly, in the event the appeal succeeds, the execution would render the outcome of the appeal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nugatory and that the applicant would suffer substantial loss which is tax payers’ money. She also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as the intended appeal has great chances of success on appeal and there is no proof that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would recover from the respondent the costs if paid on execution, the balance of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convenience tilts in favour of the applicant to have stay of execution granted.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Makani </w:t>
      </w:r>
      <w:r>
        <w:rPr>
          <w:rFonts w:ascii="Times New Roman" w:hAnsi="Times New Roman" w:cs="Times New Roman"/>
          <w:color w:val="000000"/>
        </w:rPr>
        <w:t>referred to the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this Court in</w:t>
      </w:r>
      <w:r w:rsidR="000979D9">
        <w:rPr>
          <w:rFonts w:ascii="Times New Roman" w:hAnsi="Times New Roman" w:cs="Times New Roman"/>
          <w:color w:val="00008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Stanbic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Tanzania Limited v Woods Tanzania Limited </w:t>
      </w:r>
      <w:r>
        <w:rPr>
          <w:rFonts w:ascii="Times New Roman" w:hAnsi="Times New Roman" w:cs="Times New Roman"/>
          <w:color w:val="000000"/>
        </w:rPr>
        <w:t>civil application number 196 of 2001 (UR)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>Tanzania Telecommunications Company Limited v MIC Tanzania Limited</w:t>
      </w:r>
      <w:r>
        <w:rPr>
          <w:rFonts w:ascii="Times New Roman" w:hAnsi="Times New Roman" w:cs="Times New Roman"/>
          <w:color w:val="000000"/>
        </w:rPr>
        <w:t>, civil application number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125 of 2002 (UR). In these cases the court set out factors which are to be considered by the court in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deciding whether or not to grant stay of execution.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Kalunga</w:t>
      </w:r>
      <w:proofErr w:type="spellEnd"/>
      <w:r>
        <w:rPr>
          <w:rFonts w:ascii="Times New Roman" w:hAnsi="Times New Roman" w:cs="Times New Roman"/>
          <w:color w:val="000000"/>
        </w:rPr>
        <w:t>, learned Counsel, vehemently opposed the application. Firstly, he made the blunt point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has stated on a number of occasions that in matters relating to application for stay of execution,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decision of guidance has been made by this Court. This is so, he said because there are many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conflicting decisions of the court regarding the guiding principle to be followed in applications for stay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execution. For instance, he submitted, in some cases the court has held that the chances of success in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intended appeal is not sufficient ground for granting stay of execution. On the other hand, he said in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some cases the court has upheld the same as sufficient ground to grant stay of execution. So,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Kalunga</w:t>
      </w:r>
      <w:proofErr w:type="spellEnd"/>
      <w:r w:rsidR="000979D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firmly maintained that the principles relating to stay of execution have not as yet been settled by the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He lamented that there is no ray of light that the principles would ever be settled by the court in the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foreseeable future.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Furthermore, he urged that in granting stay of execution under rule </w:t>
      </w:r>
      <w:proofErr w:type="gramStart"/>
      <w:r>
        <w:rPr>
          <w:rFonts w:ascii="Times New Roman" w:hAnsi="Times New Roman" w:cs="Times New Roman"/>
          <w:color w:val="000000"/>
        </w:rPr>
        <w:t>l9(</w:t>
      </w:r>
      <w:proofErr w:type="gramEnd"/>
      <w:r>
        <w:rPr>
          <w:rFonts w:ascii="Times New Roman" w:hAnsi="Times New Roman" w:cs="Times New Roman"/>
          <w:color w:val="000000"/>
        </w:rPr>
        <w:t>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the court must at all times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guided by the following principles. The right of the decree holder to enjoy the fruits of the judgment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decree in his favour. For this reason, Counsel submitted, cogent reasons showing why the decree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holder is to be deprived of his right by way of an immediate order of execution. On the other hand, he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also pointed out the second principle that </w:t>
      </w:r>
      <w:r>
        <w:rPr>
          <w:rFonts w:ascii="Times New Roman" w:hAnsi="Times New Roman" w:cs="Times New Roman"/>
          <w:color w:val="000000"/>
        </w:rPr>
        <w:lastRenderedPageBreak/>
        <w:t>the judgment debtor has the right to appeal if dissatisfied and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 desires to appeal. These two principles,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insisted, should be properly balanced.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this case, he contended that as the application is based on the ground that </w:t>
      </w:r>
      <w:r>
        <w:rPr>
          <w:rFonts w:ascii="Times New Roman" w:hAnsi="Times New Roman" w:cs="Times New Roman"/>
          <w:i/>
          <w:iCs/>
          <w:color w:val="000000"/>
        </w:rPr>
        <w:t>prima facie</w:t>
      </w:r>
      <w:r>
        <w:rPr>
          <w:rFonts w:ascii="Times New Roman" w:hAnsi="Times New Roman" w:cs="Times New Roman"/>
          <w:color w:val="000000"/>
        </w:rPr>
        <w:t>, there are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overwhelming chances of the appeal succeeding, this is not a sufficient ground for granting stay. On the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basis of the decision of two judges of this Court sitting as single judges in </w:t>
      </w:r>
      <w:r>
        <w:rPr>
          <w:rFonts w:ascii="Times New Roman" w:hAnsi="Times New Roman" w:cs="Times New Roman"/>
          <w:i/>
          <w:iCs/>
          <w:color w:val="000000"/>
        </w:rPr>
        <w:t>Tanzania Cotton Marketing</w:t>
      </w:r>
      <w:r w:rsidR="000979D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Board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Cogecot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Cotton Company SA </w:t>
      </w:r>
      <w:r>
        <w:rPr>
          <w:rFonts w:ascii="Times New Roman" w:hAnsi="Times New Roman" w:cs="Times New Roman"/>
          <w:color w:val="000000"/>
        </w:rPr>
        <w:t xml:space="preserve">[1997] TLR 63 and </w:t>
      </w:r>
      <w:r>
        <w:rPr>
          <w:rFonts w:ascii="Times New Roman" w:hAnsi="Times New Roman" w:cs="Times New Roman"/>
          <w:i/>
          <w:iCs/>
          <w:color w:val="000000"/>
        </w:rPr>
        <w:t xml:space="preserve">Ignazio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Mesina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National Shipping</w:t>
      </w:r>
      <w:r w:rsidR="000979D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Agencies v Willow Investment and Costa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Shinyanga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reference number 8 of 1999 (UR) he urged the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dismiss the application. With regard to the claim that the applicant would suffer irreparable loss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if no stay of execution is granted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this ground was also baseless. This is so,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maintained, because no particulars of the loss have been shown. All this has shown in this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is nothing other than </w:t>
      </w:r>
      <w:proofErr w:type="spellStart"/>
      <w:r>
        <w:rPr>
          <w:rFonts w:ascii="Times New Roman" w:hAnsi="Times New Roman" w:cs="Times New Roman"/>
          <w:color w:val="000000"/>
        </w:rPr>
        <w:t>generalised</w:t>
      </w:r>
      <w:proofErr w:type="spellEnd"/>
      <w:r>
        <w:rPr>
          <w:rFonts w:ascii="Times New Roman" w:hAnsi="Times New Roman" w:cs="Times New Roman"/>
          <w:color w:val="000000"/>
        </w:rPr>
        <w:t xml:space="preserve"> assertion, he concluded. He relied on the decision of the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in </w:t>
      </w:r>
      <w:r>
        <w:rPr>
          <w:rFonts w:ascii="Times New Roman" w:hAnsi="Times New Roman" w:cs="Times New Roman"/>
          <w:i/>
          <w:iCs/>
          <w:color w:val="000000"/>
        </w:rPr>
        <w:t xml:space="preserve">Tanzania Cotton Marketing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in support of this submission.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Finally,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that it is a matter of discretion for the court to grant stay of execution.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case, he said if the court is inclined to grant stay of execution, the applicant should be ordered to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deposit the amount, subject of the application in court as a condition.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a rejoinder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Makani </w:t>
      </w:r>
      <w:r>
        <w:rPr>
          <w:rFonts w:ascii="Times New Roman" w:hAnsi="Times New Roman" w:cs="Times New Roman"/>
          <w:color w:val="000000"/>
        </w:rPr>
        <w:t xml:space="preserve">submitted that the guiding principle pertaining to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likelihood of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success of the intended appeal should be considered in a holistic manner and not in isolation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0979D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apparently had urged. Each case should be taken on its own individual circumstances, she said.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outset, it is to be observed that the intended appeal is with regard to the costs as awarded by the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Taxing Officer. The position therefore is different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situation in which stay of execution is sought pending hearing and determination of an intended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against the judgment and decree. I intend to examine this matter in this light.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shall start with the complaint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guiding principles to be considered in granting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 otherwise stay of execution have not been settled by this Court. With great respect, I need not </w:t>
      </w:r>
      <w:proofErr w:type="spellStart"/>
      <w:r>
        <w:rPr>
          <w:rFonts w:ascii="Times New Roman" w:hAnsi="Times New Roman" w:cs="Times New Roman"/>
          <w:color w:val="000000"/>
        </w:rPr>
        <w:t>belabour</w:t>
      </w:r>
      <w:proofErr w:type="spellEnd"/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point at this stage.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Ignazio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Mesina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National Shipping Agencies v Willow</w:t>
      </w:r>
      <w:r w:rsidR="000979D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Investment and Costa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Shinyanga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reference number 8 of 1999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in which incidentally,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0979D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Counsel, raised the same complaint in more or less similar fashion, the court among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things stated: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“Thus, for instance, it is now settled that the court will grant a stay of execution if the applicant can show that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refusal to do so would cause substantial irreparable loss to him which cannot be atoned by an award of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damages. It is equally settled that the court will order a stay if refusal to do so would in the event the intended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 succeeds, render that success nugatory. Again the court will grant a stay if, in its opinion, it would be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balance of convenience to the parties to do so.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 . . these principles were reviewed and elaborated on at considerable length by this Court in the two cases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Tanzania Cotton Marketing Board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Cogecot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Cotton Company SA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[1997] TLR 63 and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Kuljeet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Singh Naha</w:t>
      </w:r>
      <w:r w:rsidR="000979D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Indevjeet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Kaul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Nahal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civil application number 90 of 1998 (UR). In fact the first of these cases is among the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long list of cases cited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Kalunga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demonstrate his contention that the court is not guided by any settled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principles when considering whether or not to grant a stay order . . . But why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Kalunga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should cite the said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case as demonstrating how the court was approaching haphazardly the issue of whether or not to grant a stay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if far from clear.”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this, I need say no more. </w:t>
      </w:r>
      <w:proofErr w:type="spellStart"/>
      <w:r>
        <w:rPr>
          <w:rFonts w:ascii="Times New Roman" w:hAnsi="Times New Roman" w:cs="Times New Roman"/>
          <w:color w:val="000000"/>
        </w:rPr>
        <w:t>Insofaras</w:t>
      </w:r>
      <w:proofErr w:type="spellEnd"/>
      <w:r>
        <w:rPr>
          <w:rFonts w:ascii="Times New Roman" w:hAnsi="Times New Roman" w:cs="Times New Roman"/>
          <w:color w:val="000000"/>
        </w:rPr>
        <w:t xml:space="preserve"> the court is concerned, so far, the guiding factors in considering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stay of execution are settled. However, as correctly stated by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Makani</w:t>
      </w:r>
      <w:r>
        <w:rPr>
          <w:rFonts w:ascii="Times New Roman" w:hAnsi="Times New Roman" w:cs="Times New Roman"/>
          <w:color w:val="000000"/>
        </w:rPr>
        <w:t>, learned Counsel, the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of these guiding principles would depend on the individual circumstances and merit of each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 The individual circumstances of each case would determine whether the case falls within the scope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parameters of any of the laid down principles.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indicated in the cases of </w:t>
      </w:r>
      <w:r>
        <w:rPr>
          <w:rFonts w:ascii="Times New Roman" w:hAnsi="Times New Roman" w:cs="Times New Roman"/>
          <w:i/>
          <w:iCs/>
          <w:color w:val="000000"/>
        </w:rPr>
        <w:t xml:space="preserve">Tanzania Cotton Marketing Board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</w:rPr>
        <w:t>Tanzania Electrical</w:t>
      </w:r>
      <w:r w:rsidR="000979D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Supply Company and others v Independent Power Tanzania Limited </w:t>
      </w:r>
      <w:r>
        <w:rPr>
          <w:rFonts w:ascii="Times New Roman" w:hAnsi="Times New Roman" w:cs="Times New Roman"/>
          <w:color w:val="000000"/>
        </w:rPr>
        <w:t>consolidated civil applications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numbers 10 and 22 of 1997 (UR) one of the factors to be considered in an application for stay of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 is whether the outcome of the appeal if successful would be rendered nugatory if execution is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stayed as urged by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Makani</w:t>
      </w:r>
      <w:r>
        <w:rPr>
          <w:rFonts w:ascii="Times New Roman" w:hAnsi="Times New Roman" w:cs="Times New Roman"/>
          <w:color w:val="000000"/>
        </w:rPr>
        <w:t>. For my part, in this case I do not think that the outcome of the appeal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rendered nugatory if stay of execution is not granted. The issue as already indicated, pertains to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after the decision of the High Court was passed in favour of the respondent. Costs indisputably,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 the event in favour of the winning party, the respondent, in this case. Whatever, the outcome of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intended appeal against the decision of the High Court following the taxation of bill of costs by the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Taxing Officer, the applicant cannot escape paying some costs incurred by the winning party in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prosecuting the case to the stage of taxation of bill of costs. The appeal if successful would in any event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affect the quantum of the costs and not exoneration from payment of costs. In that situation, the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outcome of the appeal would not be rendered nugatory.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other factor raised by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Makani </w:t>
      </w:r>
      <w:r>
        <w:rPr>
          <w:rFonts w:ascii="Times New Roman" w:hAnsi="Times New Roman" w:cs="Times New Roman"/>
          <w:color w:val="000000"/>
        </w:rPr>
        <w:t xml:space="preserve">relates to substantial loss that the applicant would </w:t>
      </w:r>
      <w:r>
        <w:rPr>
          <w:rFonts w:ascii="Times New Roman" w:hAnsi="Times New Roman" w:cs="Times New Roman"/>
          <w:color w:val="000000"/>
        </w:rPr>
        <w:lastRenderedPageBreak/>
        <w:t>suffer if stay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execution is not granted.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categorically said no such loss would be incurred. I agree with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Kalunga</w:t>
      </w:r>
      <w:proofErr w:type="spellEnd"/>
      <w:r>
        <w:rPr>
          <w:rFonts w:ascii="Times New Roman" w:hAnsi="Times New Roman" w:cs="Times New Roman"/>
          <w:color w:val="000000"/>
        </w:rPr>
        <w:t>, learned counsel on this point. Apart from the fact that such loss has not been specified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beyond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mere assertion and </w:t>
      </w:r>
      <w:proofErr w:type="spellStart"/>
      <w:r>
        <w:rPr>
          <w:rFonts w:ascii="Times New Roman" w:hAnsi="Times New Roman" w:cs="Times New Roman"/>
          <w:color w:val="000000"/>
        </w:rPr>
        <w:t>generalised</w:t>
      </w:r>
      <w:proofErr w:type="spellEnd"/>
      <w:r>
        <w:rPr>
          <w:rFonts w:ascii="Times New Roman" w:hAnsi="Times New Roman" w:cs="Times New Roman"/>
          <w:color w:val="000000"/>
        </w:rPr>
        <w:t xml:space="preserve"> claim, there is yet another dimension. This,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allude to.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my view that the guiding factor relating to substantial loss to be incurred if stay of execution is not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 relates to loss that would follow from the execution of judgment and decree and not from costs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bill of taxation as in this case. These as already indicated are costs that a winning party is entitled to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paid after the suit or petition is over. I reject the claim of the applicant suffering substantial loss on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 of payment of costs on bill of taxation.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shall now deal with the ground relating to the balance of convenience. The question is whether as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submitted by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Makani </w:t>
      </w:r>
      <w:r>
        <w:rPr>
          <w:rFonts w:ascii="Times New Roman" w:hAnsi="Times New Roman" w:cs="Times New Roman"/>
          <w:color w:val="000000"/>
        </w:rPr>
        <w:t>it would be on a balance of convenience to the applicant to grant stay of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 in the circumstances of the case. In this case, it is trite knowledge that what is in issue is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 of costs as taxed by the taxing officer which were in part sustained by the learned Judge.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Dealing with this principle, in </w:t>
      </w:r>
      <w:r>
        <w:rPr>
          <w:rFonts w:ascii="Times New Roman" w:hAnsi="Times New Roman" w:cs="Times New Roman"/>
          <w:i/>
          <w:iCs/>
          <w:color w:val="000000"/>
        </w:rPr>
        <w:t xml:space="preserve">Tanzania Cotton Marketing Board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Cogecot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Cotton Company SA </w:t>
      </w:r>
      <w:r>
        <w:rPr>
          <w:rFonts w:ascii="Times New Roman" w:hAnsi="Times New Roman" w:cs="Times New Roman"/>
          <w:color w:val="000000"/>
        </w:rPr>
        <w:t>[1997]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TLR 63, this Court cited with approval the English case of </w:t>
      </w:r>
      <w:r>
        <w:rPr>
          <w:rFonts w:ascii="Times New Roman" w:hAnsi="Times New Roman" w:cs="Times New Roman"/>
          <w:i/>
          <w:iCs/>
          <w:color w:val="000000"/>
        </w:rPr>
        <w:t xml:space="preserve">Winchester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Cigarret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Machinery Limited v</w:t>
      </w:r>
      <w:r w:rsidR="000979D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Payne and another </w:t>
      </w:r>
      <w:r>
        <w:rPr>
          <w:rFonts w:ascii="Times New Roman" w:hAnsi="Times New Roman" w:cs="Times New Roman"/>
          <w:color w:val="000000"/>
        </w:rPr>
        <w:t xml:space="preserve">(number 2) TLR 15 December 1993 wherein it was stated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recent cases it has been said that the practice of the court had moved on from the principle that the only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ground for a stay was the reasonable probability that damages and costs paid would not be repaid if the appeal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succeeds. These cases held that the approach of the court now was a matter of common sense and a balance of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advantage . . .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But in holding any such balance of advantage full and proper weight had to be given by the court to the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starting principle that there had to be a good reason for depriving a plaintiff from obtaining the fruits of a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judgment.”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case, as said before, the intended appeal is not against the judgment it is against costs. If stay of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 is not granted, is there good reason why the respondent should be deprived of the enjoyment of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fruits the judgment in his favour.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 the contentious issue is centered on costs involved in conducting the case which, depending on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circumstances of the case, may be paid even after the execution of judgment and decree. In this case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execution of the order in favour of the respondent is not in issue. In that situation, I pose to ask, is it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 to stay execution as sought with regard to costs. The bone of contention is that in view of the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reliefs sought in the petition it was wrong in law to peg the instruction fees on the arbitration award. If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intended appeal on this legal point succeeds, then the situation would change </w:t>
      </w:r>
      <w:proofErr w:type="spellStart"/>
      <w:r>
        <w:rPr>
          <w:rFonts w:ascii="Times New Roman" w:hAnsi="Times New Roman" w:cs="Times New Roman"/>
          <w:color w:val="000000"/>
        </w:rPr>
        <w:t>insofaras</w:t>
      </w:r>
      <w:proofErr w:type="spellEnd"/>
      <w:r>
        <w:rPr>
          <w:rFonts w:ascii="Times New Roman" w:hAnsi="Times New Roman" w:cs="Times New Roman"/>
          <w:color w:val="000000"/>
        </w:rPr>
        <w:t xml:space="preserve"> the costs are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concerned. In that case the quantum would also change as well. At any rate, in my view, whether or not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instruction fees are not sustained on appeal, payment of some costs cannot be avoided all together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infavour</w:t>
      </w:r>
      <w:proofErr w:type="spellEnd"/>
      <w:r>
        <w:rPr>
          <w:rFonts w:ascii="Times New Roman" w:hAnsi="Times New Roman" w:cs="Times New Roman"/>
          <w:color w:val="000000"/>
        </w:rPr>
        <w:t xml:space="preserve"> of the winning party. This is because as said before, it is common knowledge that costs follow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event, irrespective of whether or not the matter arose from a suit or a petition. In the circumstances, I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 increasingly of the view that it would be prudent to stay payment of costs until the intended appeal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costs is heard and determined. Upon the determination of the appeal, the applicant would be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certain of the amount involved in the costs, if any.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Zacharia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Barie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Theresia Maria John</w:t>
      </w:r>
      <w:r w:rsidR="000979D9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Mubiru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application number 10 of 1991 (UR) a case involving stay of an eviction order, a single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 of this Court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stated: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am satisfied that it would be imprudent to have him and his family evicted while there is pending in this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an appeal against the very decision sought to be used to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evict him. The prudent thing to do would be to await the result the appeal when execution can take place in an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atmosphere of certainty.”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Similarly,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Ravindra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 Desai and another v Co-operative and Rural Development Bank </w:t>
      </w:r>
      <w:r>
        <w:rPr>
          <w:rFonts w:ascii="Times New Roman" w:hAnsi="Times New Roman" w:cs="Times New Roman"/>
          <w:color w:val="000000"/>
        </w:rPr>
        <w:t>civil reference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 and 3 of 1996 (UR) the decision, subject of appeal was problematic. The case was partly dealt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by the district registrar who had no jurisdiction and partly by the judge. Granting the application for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stay of execution, the full court in part, stated: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think in a case like this one, where there is a notice of appeal against a problematic judgment, the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 of justice require a stay of execution to be granted pending the hearing and decision of the appeal so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judgment of the High Court may be sorted out.”</w:t>
      </w:r>
      <w:r w:rsidR="000979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similar vein, in the instant case, I am satisfied that there is sufficiently good reason for granting stay of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execution. There is an appeal pending in this Court against the very decision of the learned Judge on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which is sought to be stayed. Granting stay of execution would, in my opinion be in the interests of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rather than carrying on the execution process pertaining the costs in which there is some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uncertainty. I am, with respect, in agreement with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Makani</w:t>
      </w:r>
      <w:r>
        <w:rPr>
          <w:rFonts w:ascii="Times New Roman" w:hAnsi="Times New Roman" w:cs="Times New Roman"/>
          <w:color w:val="000000"/>
        </w:rPr>
        <w:t>, learned Counsel, that having regard to the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of the case, balance of convenience and common sense tilts in favour of the applicant to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stay of execution. Accordingly, in exercise of the court’s discretionary powers vested under the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of rule 9(2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), the application is </w:t>
      </w:r>
      <w:r>
        <w:rPr>
          <w:rFonts w:ascii="Times New Roman" w:hAnsi="Times New Roman" w:cs="Times New Roman"/>
          <w:color w:val="000000"/>
        </w:rPr>
        <w:lastRenderedPageBreak/>
        <w:t>granted.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Consequently, the High Court order of 23 August 2005 in miscellaneous case number 307 of 2002 is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ordered to be stayed pending the determination of the intended appeal. Costs of this application to be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in the cause.</w:t>
      </w:r>
      <w:r w:rsidR="00097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92449A" w:rsidRDefault="0092449A" w:rsidP="0092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Lyimo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Makani</w:t>
      </w:r>
    </w:p>
    <w:p w:rsidR="0092449A" w:rsidRDefault="0092449A" w:rsidP="0092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92449A" w:rsidP="0092449A"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Kalunga</w:t>
      </w:r>
      <w:proofErr w:type="spellEnd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9A"/>
    <w:rsid w:val="000979D9"/>
    <w:rsid w:val="0092449A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690EA-625C-4353-ADEA-2210C420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2394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2018-07-05T06:07:00Z</dcterms:created>
  <dcterms:modified xsi:type="dcterms:W3CDTF">2018-07-12T11:20:00Z</dcterms:modified>
</cp:coreProperties>
</file>