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Equip Agencies Ltd v Credit Bank Ltd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Kisumu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proofErr w:type="spellStart"/>
      <w:r>
        <w:rPr>
          <w:rFonts w:ascii="Times New Roman" w:hAnsi="Times New Roman" w:cs="Times New Roman"/>
          <w:color w:val="000000"/>
        </w:rPr>
        <w:t>Milimani</w:t>
      </w:r>
      <w:proofErr w:type="spellEnd"/>
      <w:r>
        <w:rPr>
          <w:rFonts w:ascii="Times New Roman" w:hAnsi="Times New Roman" w:cs="Times New Roman"/>
          <w:color w:val="000000"/>
        </w:rPr>
        <w:t xml:space="preserve"> Commercial Courts of Kenya at Kisumu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7 June 2004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1265/02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Emukule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Advocate – Client – Ostensible authority – Whether advocate has ostensible authority to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compromise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case on client’s behalf.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Civil procedure – Review – Consent judgment – Ground upon which a consent judgment may be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reviewed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Order XLIV, rules 1, 3 and 4 – Civil Procedure Rules – Section 80 – Civil Procedure Act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(Chapter 21).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Mortgage – Chattels mortgage – Whether party may sell movable property situated on a mortgaged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property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in absence of a specific chattels mortgage or general debenture.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D7AE5" w:rsidRDefault="002F61B4" w:rsidP="000D7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applicant made application under the provisions of Order XLIV, rules 1, 3 and 4, Order XXXIX,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rules 1, 2 and 3 of the Civil Procedure Rules and sections 3A and 80 of the Civil Procedure Act seeking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various reliefs. It sought review of a consent judgment entered into between its previous advocates and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advocates, and also sought temporary injunctions to restrain the respondent from selling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piece of land known as land registration number </w:t>
      </w:r>
      <w:proofErr w:type="spellStart"/>
      <w:r>
        <w:rPr>
          <w:rFonts w:ascii="Times New Roman" w:hAnsi="Times New Roman" w:cs="Times New Roman"/>
          <w:color w:val="000000"/>
        </w:rPr>
        <w:t>Eldoret</w:t>
      </w:r>
      <w:proofErr w:type="spellEnd"/>
      <w:r>
        <w:rPr>
          <w:rFonts w:ascii="Times New Roman" w:hAnsi="Times New Roman" w:cs="Times New Roman"/>
          <w:color w:val="000000"/>
        </w:rPr>
        <w:t xml:space="preserve"> Municipality/Block 10/34 including the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plant and machinery thereon. In the alternative the applicant sought an injunction restraining the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 from selling all the plant, equipment, machinery and chattels situated on title number </w:t>
      </w:r>
      <w:proofErr w:type="spellStart"/>
      <w:r>
        <w:rPr>
          <w:rFonts w:ascii="Times New Roman" w:hAnsi="Times New Roman" w:cs="Times New Roman"/>
          <w:color w:val="000000"/>
        </w:rPr>
        <w:t>Eldoret</w:t>
      </w:r>
      <w:proofErr w:type="spellEnd"/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Municipality/Block 10/34.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applicant argued that its previous advocates had entered into the consent judgment without the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applicant’s knowledge or authority, and that there was an error on the face of the record in that the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consent was intended to be recorded on an application thus giving rise to an order and not on the whole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suit as happened leading to a decree. Further, the applicant contended that the respondent had not issued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proper statutory notice and that the charge document sought to be enforced was defective for want of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compliance with section 108 of the Registered Land Act.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opposed the application on the grounds that the applicant’s previous advocates had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ostensible authority to enter into a consent on behalf of the applicant and that the respondent had issued a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 statutory notice which had been acknowledged by the applicant’s advocates. The issue of delay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also raised since the consent decree was more than one year old as at the time the applicant filed the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current application and further, that the applicant was guilty of inequitable conduct since it had issued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for settlement of the decree but which </w:t>
      </w:r>
      <w:proofErr w:type="spellStart"/>
      <w:r>
        <w:rPr>
          <w:rFonts w:ascii="Times New Roman" w:hAnsi="Times New Roman" w:cs="Times New Roman"/>
          <w:color w:val="000000"/>
        </w:rPr>
        <w:t>cheques</w:t>
      </w:r>
      <w:proofErr w:type="spellEnd"/>
      <w:r>
        <w:rPr>
          <w:rFonts w:ascii="Times New Roman" w:hAnsi="Times New Roman" w:cs="Times New Roman"/>
          <w:color w:val="000000"/>
        </w:rPr>
        <w:t xml:space="preserve"> had been returned unpaid.</w:t>
      </w:r>
      <w:r w:rsidR="000D7AE5">
        <w:rPr>
          <w:rFonts w:ascii="Times New Roman" w:hAnsi="Times New Roman" w:cs="Times New Roman"/>
          <w:color w:val="000000"/>
        </w:rPr>
        <w:t xml:space="preserve"> </w:t>
      </w:r>
    </w:p>
    <w:p w:rsidR="000D7AE5" w:rsidRDefault="000D7AE5" w:rsidP="000D7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F61B4" w:rsidRDefault="002F61B4" w:rsidP="000D7AE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Advocates were </w:t>
      </w:r>
      <w:proofErr w:type="spellStart"/>
      <w:r>
        <w:rPr>
          <w:rFonts w:ascii="Times New Roman" w:hAnsi="Times New Roman" w:cs="Times New Roman"/>
          <w:color w:val="000000"/>
        </w:rPr>
        <w:t>recognised</w:t>
      </w:r>
      <w:proofErr w:type="spellEnd"/>
      <w:r>
        <w:rPr>
          <w:rFonts w:ascii="Times New Roman" w:hAnsi="Times New Roman" w:cs="Times New Roman"/>
          <w:color w:val="000000"/>
        </w:rPr>
        <w:t xml:space="preserve"> agents of their clients and had ostensible authority to compromise a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suit so far as the opponent was concerned – </w:t>
      </w:r>
      <w:r>
        <w:rPr>
          <w:rFonts w:ascii="Times New Roman" w:hAnsi="Times New Roman" w:cs="Times New Roman"/>
          <w:i/>
          <w:iCs/>
          <w:color w:val="000000"/>
        </w:rPr>
        <w:t xml:space="preserve">Waugh v HB Clifford and Sons </w:t>
      </w:r>
      <w:r>
        <w:rPr>
          <w:rFonts w:ascii="Times New Roman" w:hAnsi="Times New Roman" w:cs="Times New Roman"/>
          <w:color w:val="000000"/>
        </w:rPr>
        <w:t xml:space="preserve">[1982]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374,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Chandless-Chandless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Nicholson </w:t>
      </w:r>
      <w:r>
        <w:rPr>
          <w:rFonts w:ascii="Times New Roman" w:hAnsi="Times New Roman" w:cs="Times New Roman"/>
          <w:color w:val="000000"/>
        </w:rPr>
        <w:t>[1994] 2 All ER 315 adopted. A consent judgment or order had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contractual effect and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could only be set aside on grounds which would justify setting a contract aside. There were no valid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reasons to justify the setting aside of the consent decree in this case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[1982-88] 1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KAR 625,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[1952] 19 EACA 131 and </w:t>
      </w:r>
      <w:r>
        <w:rPr>
          <w:rFonts w:ascii="Times New Roman" w:hAnsi="Times New Roman" w:cs="Times New Roman"/>
          <w:i/>
          <w:iCs/>
          <w:color w:val="000000"/>
        </w:rPr>
        <w:t xml:space="preserve">Brooke Bond Liebig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266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followed.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applicant had not established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case for granting an interlocutory injunction, since the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record showed that a statutory notice had been issued and further the charge document had been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examined and caused to be duly registered by the Chief Land Registrar as mandated under section 108 of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Registered Land Act (Chapter 300).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the absence of a chattels mortgage or a general debenture, the respondent had no legal basis for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selling plant, machinery, equipment and other chattels situate on the suit property. An injunction would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therefore issue restraining sale of such immovable assets.</w:t>
      </w:r>
      <w:r w:rsidR="000D7AE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Application succeeds in part.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ruling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Brooke Bond Liebig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[1975] EA 266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Galot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Kenya National Capital Corporation </w:t>
      </w:r>
      <w:r>
        <w:rPr>
          <w:rFonts w:ascii="Times New Roman" w:hAnsi="Times New Roman" w:cs="Times New Roman"/>
          <w:color w:val="000000"/>
        </w:rPr>
        <w:t xml:space="preserve">[1993] LLR 1628 (CCK) – </w:t>
      </w:r>
      <w:r>
        <w:rPr>
          <w:rFonts w:ascii="Times New Roman" w:hAnsi="Times New Roman" w:cs="Times New Roman"/>
          <w:b/>
          <w:bCs/>
          <w:color w:val="000000"/>
        </w:rPr>
        <w:t>AP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Giella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Casman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Brown and Co Ltd </w:t>
      </w:r>
      <w:r>
        <w:rPr>
          <w:rFonts w:ascii="Times New Roman" w:hAnsi="Times New Roman" w:cs="Times New Roman"/>
          <w:color w:val="000000"/>
        </w:rPr>
        <w:t xml:space="preserve">[1973] EA 358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Hirani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[1952] 19 EACA 131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Kanorero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River Farm Ltd and others v National Bank of Kenya Ltd </w:t>
      </w:r>
      <w:r>
        <w:rPr>
          <w:rFonts w:ascii="Times New Roman" w:hAnsi="Times New Roman" w:cs="Times New Roman"/>
          <w:color w:val="000000"/>
        </w:rPr>
        <w:t xml:space="preserve">[2001] LLR 1056 (CCK)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Kenya Commercial Bank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Kariuki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[2001] LLR 1642 (CCK)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Kimita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Wakabiru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[1985] LLR 246 (CAK)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Simiyu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Housing Finance Co of Kenya </w:t>
      </w:r>
      <w:r>
        <w:rPr>
          <w:rFonts w:ascii="Times New Roman" w:hAnsi="Times New Roman" w:cs="Times New Roman"/>
          <w:color w:val="000000"/>
        </w:rPr>
        <w:t xml:space="preserve">[2001] 2 EA 540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Tropical Food Products International v Eastern and Southern African Trade and Development Bank and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another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[2001] LLR 1530 (CCK)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[1982-88] 1 KAR 625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Chandless-Chandless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Nicholson </w:t>
      </w:r>
      <w:r>
        <w:rPr>
          <w:rFonts w:ascii="Times New Roman" w:hAnsi="Times New Roman" w:cs="Times New Roman"/>
          <w:color w:val="000000"/>
        </w:rPr>
        <w:t xml:space="preserve">[1994] 2 All ER 315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Channel Ltd v FW Woodworth and Co Ltd and others </w:t>
      </w:r>
      <w:r>
        <w:rPr>
          <w:rFonts w:ascii="Times New Roman" w:hAnsi="Times New Roman" w:cs="Times New Roman"/>
          <w:color w:val="000000"/>
        </w:rPr>
        <w:t xml:space="preserve">[1981] 1 All ER 745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Purcell v FC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Trigell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color w:val="000000"/>
        </w:rPr>
        <w:t>Ltd</w:t>
      </w:r>
      <w:r>
        <w:rPr>
          <w:rFonts w:ascii="Times New Roman" w:hAnsi="Times New Roman" w:cs="Times New Roman"/>
          <w:color w:val="000000"/>
        </w:rPr>
        <w:t>[</w:t>
      </w:r>
      <w:proofErr w:type="gramEnd"/>
      <w:r>
        <w:rPr>
          <w:rFonts w:ascii="Times New Roman" w:hAnsi="Times New Roman" w:cs="Times New Roman"/>
          <w:color w:val="000000"/>
        </w:rPr>
        <w:t xml:space="preserve">1970] 3 All ER 671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2F61B4" w:rsidRDefault="002F61B4" w:rsidP="002F61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Siebe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Gorman and Company v Principal </w:t>
      </w:r>
      <w:r>
        <w:rPr>
          <w:rFonts w:ascii="Times New Roman" w:hAnsi="Times New Roman" w:cs="Times New Roman"/>
          <w:color w:val="000000"/>
        </w:rPr>
        <w:t xml:space="preserve">[1982] LR 185 – </w:t>
      </w:r>
      <w:r>
        <w:rPr>
          <w:rFonts w:ascii="Times New Roman" w:hAnsi="Times New Roman" w:cs="Times New Roman"/>
          <w:b/>
          <w:bCs/>
          <w:color w:val="000000"/>
        </w:rPr>
        <w:t>C</w:t>
      </w:r>
    </w:p>
    <w:p w:rsidR="00E97396" w:rsidRDefault="002F61B4" w:rsidP="002F61B4">
      <w:r>
        <w:rPr>
          <w:rFonts w:ascii="Times New Roman" w:hAnsi="Times New Roman" w:cs="Times New Roman"/>
          <w:i/>
          <w:iCs/>
          <w:color w:val="000000"/>
        </w:rPr>
        <w:t xml:space="preserve">Waugh v HB Clifford and sons </w:t>
      </w:r>
      <w:r>
        <w:rPr>
          <w:rFonts w:ascii="Times New Roman" w:hAnsi="Times New Roman" w:cs="Times New Roman"/>
          <w:color w:val="000000"/>
        </w:rPr>
        <w:t xml:space="preserve">[1982] </w:t>
      </w:r>
      <w:proofErr w:type="spellStart"/>
      <w:r>
        <w:rPr>
          <w:rFonts w:ascii="Times New Roman" w:hAnsi="Times New Roman" w:cs="Times New Roman"/>
          <w:color w:val="000000"/>
        </w:rPr>
        <w:t>Ch</w:t>
      </w:r>
      <w:proofErr w:type="spellEnd"/>
      <w:r>
        <w:rPr>
          <w:rFonts w:ascii="Times New Roman" w:hAnsi="Times New Roman" w:cs="Times New Roman"/>
          <w:color w:val="000000"/>
        </w:rPr>
        <w:t xml:space="preserve"> 374 – </w:t>
      </w:r>
      <w:r>
        <w:rPr>
          <w:rFonts w:ascii="Times New Roman" w:hAnsi="Times New Roman" w:cs="Times New Roman"/>
          <w:b/>
          <w:bCs/>
          <w:color w:val="000000"/>
        </w:rPr>
        <w:t>A</w:t>
      </w:r>
    </w:p>
    <w:sectPr w:rsidR="00E9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1B4"/>
    <w:rsid w:val="000D7AE5"/>
    <w:rsid w:val="002F61B4"/>
    <w:rsid w:val="00E9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9A437-9B81-4102-AA9F-83E0075E2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2018-07-03T13:36:00Z</dcterms:created>
  <dcterms:modified xsi:type="dcterms:W3CDTF">2018-07-12T11:23:00Z</dcterms:modified>
</cp:coreProperties>
</file>