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Equip Agencies Ltd v Credit Bank Ltd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Kisumu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Kisumu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7 June 2004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1265/02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Client – Ostensible authority – Whether advocate has ostensible authority to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compromise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case on client’s behalf.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Review – Consent judgment – Ground upon which a consent judgment may be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reviewed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Order XLIV, rules 1, 3 and 4 – Civil Procedure Rules – Section 80 – Civil Procedure Act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21).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Mortgage – Chattels mortgage – Whether party may sell movable property situated on a mortgaged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property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absence of a specific chattels mortgage or general debenture.</w:t>
      </w:r>
    </w:p>
    <w:p w:rsidR="009F47A6" w:rsidRDefault="005B625E" w:rsidP="005B6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5B625E" w:rsidRDefault="009F47A6" w:rsidP="005B62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EMUKULE J: </w:t>
      </w:r>
      <w:r>
        <w:rPr>
          <w:rFonts w:ascii="Times New Roman" w:hAnsi="Times New Roman" w:cs="Times New Roman"/>
          <w:color w:val="000000"/>
        </w:rPr>
        <w:t>This ruling relates to the application dated 10 March 2004 brought by way of a notice of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 under the provisions of Order XLIV, rules 1, 3 and 3 (I think rule 4) Order XXXIX rules 1, 2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of the Civil Procedure Rules, section 3A and section 80 of the Civil Procedure Act and all enabling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law.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filed under a certificate of urgency and orders were in the first instance granted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The application seeks the orders following: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Spent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pending the hearing and final determination of this suit, a temporary injunction do issue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restraining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respondentfrom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doing any of the following acts or any of them, that is so say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advertising for sale, alienating, selling or disposing by public auction or otherwise howsoever,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interfering with the applicant’s title to or interest in all that piece of land known as title number LR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number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Eldoret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Municipality/Block 10/34 including the plant and/or machinery thereon and all its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components.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That this Court does review and set aside the consent judgment entered on 22 January 2003 and all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consequential orders and this matter proceed to trial.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That the respondent whether by itself, its servants, agents advocates or auctioneers or any of them or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otherwise howsoever be restrained by a temporary order of injunction from doing any of the following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acts, or anyone of them, that is to say, from interfering with the applicant’s right of possession,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advertising for sale, disposing by public auction or otherwise interfering with the ownership of and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title to and/or interest in the title number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Eldoret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Municipality Block 10/34 pending the determination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this suit.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That in the alternative and without prejudice to the foregoing prayers, the Court do issue an injunction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restraining the respondent from advertising for sale, by public auction or otherwise howsoever all the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plant, equipment, machinery and Chattels currently situated on title number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Eldoret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Municipality block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10/34, and a further injunction do issue restraining any auction, sale or disposal of the suit land for a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period of one year to enable the removal of the said chattels, plant, equipment and machinery.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was supported by the supporting affidavit of </w:t>
      </w:r>
      <w:proofErr w:type="spellStart"/>
      <w:r>
        <w:rPr>
          <w:rFonts w:ascii="Times New Roman" w:hAnsi="Times New Roman" w:cs="Times New Roman"/>
          <w:color w:val="000000"/>
        </w:rPr>
        <w:t>Divyesh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Indubhai</w:t>
      </w:r>
      <w:proofErr w:type="spellEnd"/>
      <w:r>
        <w:rPr>
          <w:rFonts w:ascii="Times New Roman" w:hAnsi="Times New Roman" w:cs="Times New Roman"/>
          <w:color w:val="000000"/>
        </w:rPr>
        <w:t xml:space="preserve"> Patel sworn and filed on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 March 2004 and the grounds that:</w:t>
      </w:r>
      <w:r w:rsidR="005B625E">
        <w:rPr>
          <w:rFonts w:ascii="Times New Roman" w:hAnsi="Times New Roman" w:cs="Times New Roman"/>
          <w:color w:val="000000"/>
        </w:rPr>
        <w:t xml:space="preserve"> </w:t>
      </w:r>
    </w:p>
    <w:p w:rsidR="009F47A6" w:rsidRDefault="009F47A6" w:rsidP="005B62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(I) That there is sufficient reasons for review because: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 he said consent order was recorded without the knowledge and authority of the applicant.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advocates who recorded the said order were not advocates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per se.</w:t>
      </w:r>
      <w:r w:rsidR="005B625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valid statutory notice has ever been served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allicant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hereas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parties herein filed a “consent order” the deputy Registrar erroneously issued a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“decree” thereby marking the suit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finalised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contrary to the intention of the parties.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That the order was recorded by mistake and by an error apparent on the face of the record in that: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parties did not address themselves to the fate of the chattels, plant and machinery worth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82 000 000 currently situated on the suit premises.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31 643 469-50 recorded as due to the applicant was not in fact so due, the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applicant having to date paid to the defendant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61 347 516-40 in repayment of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original loan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25 000 000.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charge document is fatally defective and incapable of taking effect and no statutory power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sale can properly be exercisable thereunder.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plant, machinery and chattels,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thought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charged are not provided for in the consent yet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respondent seeks to sell the same;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 he said consent order in effect gave the respondent a decree for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25 million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whilst not taking away the statutory power of sale contrary to tenor of section 74(3) of the RLA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(Chapter 300), (the Registered Land Act) and thereby subjecting the applicant to double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jeopardy over the same purported debt.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consent made no mention of the equipment, plant and machinery in the suit premises which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of more value than the charged premises.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affidavit of </w:t>
      </w:r>
      <w:proofErr w:type="spellStart"/>
      <w:r>
        <w:rPr>
          <w:rFonts w:ascii="Times New Roman" w:hAnsi="Times New Roman" w:cs="Times New Roman"/>
          <w:color w:val="000000"/>
        </w:rPr>
        <w:t>Divyesh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Indubhai</w:t>
      </w:r>
      <w:proofErr w:type="spellEnd"/>
      <w:r>
        <w:rPr>
          <w:rFonts w:ascii="Times New Roman" w:hAnsi="Times New Roman" w:cs="Times New Roman"/>
          <w:color w:val="000000"/>
        </w:rPr>
        <w:t xml:space="preserve"> Patel reiterates the above ground and </w:t>
      </w:r>
      <w:proofErr w:type="spellStart"/>
      <w:r>
        <w:rPr>
          <w:rFonts w:ascii="Times New Roman" w:hAnsi="Times New Roman" w:cs="Times New Roman"/>
          <w:color w:val="000000"/>
        </w:rPr>
        <w:t>summarise</w:t>
      </w:r>
      <w:proofErr w:type="spellEnd"/>
      <w:r>
        <w:rPr>
          <w:rFonts w:ascii="Times New Roman" w:hAnsi="Times New Roman" w:cs="Times New Roman"/>
          <w:color w:val="000000"/>
        </w:rPr>
        <w:t xml:space="preserve"> them in paragraph 19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thereof that: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No statutory power of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sale can arise out of the “charge” document as the same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fataly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defective.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applicants are decree holders and cannot enforce both a decree and the statutory power of sale,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charge is null and void and of no effect for non-compliance with the mandatory provisions of the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Registered Land Act and the Law of Contract Act,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No valid statutory notice has ever been sent.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adds that these matter were not addressed by the consent order, and that the applicant was to suffer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irreparably in the event of sale it would be near impossible to source similar machinery in view of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enormous first cost of the project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350 000 000. The deponent also lays blame upon their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advocate who they say had now jumped ship and joined the opposition in a manner of speech.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opposed and in a replying affidavit of Narendra Kumar Agarwal the respondent’s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Managing Director, the deponent says that the consent was recorded by advocates on record who were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duly authorised to do so, and with which order the applicant had partially complied in that the applicant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paid both the respondent’s advocate’s fees as well as the auctioneer’s fees. The applicant had also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instalments due under the consent order, and further purported to pay off the entire sum due under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consent, but that the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issued by the applicant, were returned unpaid or “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>”.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deponent charges that the applicant is not entitled to the remedies it seeks because: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truly indebted to the respondent, and having admitted that indebtedness, it has returned to court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half truths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unclean hands and in bad faith.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having admitted the indebtedness and having made part payment pursuant to the consent, it is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precluded from challenging either the consent or the charge instrument.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defendant has come to court belatedly after part compliance with the terms of the consent herein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well after one (1) year after recording the consent and is therefore guilty of indolence.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By its previous conduct of filing numerous applications and/or suits and as admitted by the applicant in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those previous applications and affidavits in support the applicant is merely interested in buying time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is abusing the process of court.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present application and the supporting affidavits are unmerited and untenable in law, for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</w:t>
      </w:r>
      <w:r w:rsidR="005B625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alia</w:t>
      </w:r>
      <w:r>
        <w:rPr>
          <w:rFonts w:ascii="Times New Roman" w:hAnsi="Times New Roman" w:cs="Times New Roman"/>
          <w:color w:val="000000"/>
          <w:sz w:val="20"/>
          <w:szCs w:val="20"/>
        </w:rPr>
        <w:t>, failing to meet the requirements for granting the remedies sought.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In any event, compensation in damages would be an adequate remedy, which the respondent being a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sound banking institution would be able to meet.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In the interests of justice parties should adhere to their contractual obligations and/or obligations under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consent decree/order.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this application is a belated after-thought and fatal attempt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theapplicant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delay the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from enforcing its rights.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Central to the determination of issues raised by this application is the nature and substance of both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claim in accordance with the applicant’s chamber summons (application) dated and filed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 with the plaint on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 December 2002,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by the respondent on 16 January 2003, the replying affidavit of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Narendra Kumar Agarwal, the </w:t>
      </w:r>
      <w:proofErr w:type="spellStart"/>
      <w:r>
        <w:rPr>
          <w:rFonts w:ascii="Times New Roman" w:hAnsi="Times New Roman" w:cs="Times New Roman"/>
          <w:color w:val="000000"/>
        </w:rPr>
        <w:t>respondents’Managing</w:t>
      </w:r>
      <w:proofErr w:type="spellEnd"/>
      <w:r>
        <w:rPr>
          <w:rFonts w:ascii="Times New Roman" w:hAnsi="Times New Roman" w:cs="Times New Roman"/>
          <w:color w:val="000000"/>
        </w:rPr>
        <w:t xml:space="preserve"> Director sworn on 15 January 2003 and filed on 16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January 2003, to the subsequent compromises reached in the letter dated 22 January 2003 signed jointly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applicant’s then advocates on record, </w:t>
      </w:r>
      <w:proofErr w:type="spellStart"/>
      <w:r>
        <w:rPr>
          <w:rFonts w:ascii="Times New Roman" w:hAnsi="Times New Roman" w:cs="Times New Roman"/>
          <w:color w:val="000000"/>
        </w:rPr>
        <w:t>Cheptumo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 and </w:t>
      </w:r>
      <w:proofErr w:type="spellStart"/>
      <w:r>
        <w:rPr>
          <w:rFonts w:ascii="Times New Roman" w:hAnsi="Times New Roman" w:cs="Times New Roman"/>
          <w:color w:val="000000"/>
        </w:rPr>
        <w:t>Nyachae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advocates, leading to the recording of the consent decree on 22 January 2003 and issue thereof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26 February 2003.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Gichuki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King’ara</w:t>
      </w:r>
      <w:proofErr w:type="spellEnd"/>
      <w:r>
        <w:rPr>
          <w:rFonts w:ascii="Times New Roman" w:hAnsi="Times New Roman" w:cs="Times New Roman"/>
          <w:color w:val="000000"/>
        </w:rPr>
        <w:t>, counsel for the applicant urged this matter before me on 27 April 2004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told the Court in as many words that the consent order/decree be reviewed. The applicant had no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of it when it was recorded, counsel for the applicant then did not have authority to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entered into such a consent order without the applicant’s authority. Counsel also told the Court that there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an error apparent on the fact of the record, the consent was intended to record a consent in respect of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chamber summons application of 20 December 2002 and not the entire suit, and thus become a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leading to the issue of a decree and not an order. Counsel also attacked the decree for not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dealing with the issue of the chattels whose value he said was far in excess of the value to the land on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machinery was situated; and that this fact is acknowledged by the respondent. The applicant’s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also attacked the charge, for being defective, and not complying with the provisions of section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108 of the Registered Land Act, and that therefore it was null and void. Unless the respondent was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restrained the application was open to double jeopardy as under both the charge, and the consent decree,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at liberty to sell the suit property together with plant, equipment, machinery and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chattels situate on the suit property.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 also told the Court that in the alternative, the applicant be permitted to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remove the plant, machinery and equipment from the suit premises within one year presumably from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of the order under this application.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response to the applicant’s counsel’s submissions,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Ashitiva</w:t>
      </w:r>
      <w:proofErr w:type="spellEnd"/>
      <w:r>
        <w:rPr>
          <w:rFonts w:ascii="Times New Roman" w:hAnsi="Times New Roman" w:cs="Times New Roman"/>
          <w:color w:val="000000"/>
        </w:rPr>
        <w:t>, counsel for the respondent relied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and reiterated the averments contained in the replying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Narendra Kumar Agarwal,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Managing Director, and already referred to above. The conduct of the applicant had not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exemplary. The applicant had partially observed the terms of the consent decree to </w:t>
      </w:r>
      <w:proofErr w:type="gramStart"/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extend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of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even issuing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for the payment of the full decretal sum, but for their being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>, this matter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have been </w:t>
      </w:r>
      <w:proofErr w:type="spellStart"/>
      <w:r>
        <w:rPr>
          <w:rFonts w:ascii="Times New Roman" w:hAnsi="Times New Roman" w:cs="Times New Roman"/>
          <w:color w:val="000000"/>
        </w:rPr>
        <w:t>finalised</w:t>
      </w:r>
      <w:proofErr w:type="spellEnd"/>
      <w:r>
        <w:rPr>
          <w:rFonts w:ascii="Times New Roman" w:hAnsi="Times New Roman" w:cs="Times New Roman"/>
          <w:color w:val="000000"/>
        </w:rPr>
        <w:t>. The prayers being canvassed under this application had been canvassed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before. The letter containing the terms of the consent decree was signed by both counsel for the applicant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respondent respectively. The applicant’s counsel had authority as a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agent of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to negotiate and sign the consent letter in this professional capacity. Having observed the terms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consent decree, the applicant cannot now be heard to say that his counsel had no authority to sign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that they had no knowledge of the terms thereof. Counsel for the applicant cannot accuse the Deputy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for issuing a decree rather than an order. The consent letter stated that the case be marked as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settled thus making the consent letter, a judgment of the Court by the consent of the parties, and issue a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and not an order.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regarding the defectiveness and therefore legality of the charge had also been previously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urged, and had been settled by the consent decree.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had issued a valid statutory notice dated 7 June 2002, and the same had been acknowledged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Mackecha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 on 19 July 2002 on behalf of the applicant and that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exercise of the statutory power of sale which had been scheduled for 23 January 2003 were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regular and lawful in terms of the Registered Land Act and the Auctioneers Rules 1997. The applicant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therefore failed to make out any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entitling him to the injunctive reliefs sought on this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 of the application.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alternative prayer, that injunctive relief do issue in respect of the plant, machinery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equipment and other chattels, the respondent’s counsel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Ashitiva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presence of the applicant’s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Gichuki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King’ara</w:t>
      </w:r>
      <w:proofErr w:type="spellEnd"/>
      <w:r>
        <w:rPr>
          <w:rFonts w:ascii="Times New Roman" w:hAnsi="Times New Roman" w:cs="Times New Roman"/>
          <w:color w:val="000000"/>
        </w:rPr>
        <w:t>, on 4 May 2004 told the Court that the respondent was willing to give a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written undertaking in terms of paragraph 16 of the replying of affidavit of </w:t>
      </w:r>
      <w:proofErr w:type="spellStart"/>
      <w:r>
        <w:rPr>
          <w:rFonts w:ascii="Times New Roman" w:hAnsi="Times New Roman" w:cs="Times New Roman"/>
          <w:color w:val="000000"/>
        </w:rPr>
        <w:t>Narendara</w:t>
      </w:r>
      <w:proofErr w:type="spellEnd"/>
      <w:r>
        <w:rPr>
          <w:rFonts w:ascii="Times New Roman" w:hAnsi="Times New Roman" w:cs="Times New Roman"/>
          <w:color w:val="000000"/>
        </w:rPr>
        <w:t xml:space="preserve"> Kumar Agarwal,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and filed on 11 December 2003 in respect of High Court civil case number 773 of 2003 between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and the respondent. Both counsel confirmed that such an undertaking would take away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equipment, plant and machinery from the ambit of the charge, and thus leave the respondent with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liberty 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its security by sale of the suit property together with other improvements thereon other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the said machinery, plant and equipment.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has been set out above are essentially the facts and the submissions of counsel on this matter. I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now revert to the law. As stated at outset of this ruling, the application is expressed to be brought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provisions of Order XLIV, rules 1, 3 and 4 (not rule 3 as stated in the application),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XXXIX, rules 1, 2 and 3 of the Civil Procedure Rules and section 3A and 80 of the Civil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Act, and all enabling provisions of the law.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rule 4 of the said order is because the Judge who passed the decree or order is no longer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attached to this Court and the application may be heard by any other Judge who is attached to the Court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time the application comes for hearing. The decree for review was made by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(as he then was) who is no longer attached to this Court and hence this Court has jurisdiction to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this application. Otherwise rule 1 of the said Order provides that: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1(1) any person considering himself aggrieved: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 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decree or order from which an appeal is allowed but from which no appeal has been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preferred, or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b y a decree or order from which no appeal is hereby allowed.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who desires a review of the decree passed or order made may apply for a review of judgment to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which passed the decree or made the order without unreasonable delay: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upon the discovery of new and important matter or evidence, which after the exercise of due diligence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within his knowledge or could not be produced by him at the time when the decree was passed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the order was made;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on the account of some mistake or error apparent on the face of the record; or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for other sufficient reason.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Rule 3 thereof says that where it appears to the Court that there is not sufficient ground for a review, it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dismiss the application, and where it is of the opinion that the application for review should be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granted, it shall grant the same, (rule 3(2)). The only proviso is that no review shall be granted on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a new matter or evidence which the applicant alleges was not within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knowledge, or could not be adduced by him when the decree was passed or order made, except upon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strict proof of such allegation.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record, the following cases were cited to the Court in support of the application for review by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applicant. They are: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Galot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others v Kenya National Capital Corporation [1993] LLR 1628 (CCK).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another v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Wakabiru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[1985] LLR 246 (CAK).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Tropical Food Products International v Eastern and Southern African Trade and Development Bank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another [2001] LLR 1530 (CCK)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Simiyu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Housing Finance Co of Kenya </w:t>
      </w:r>
      <w:r>
        <w:rPr>
          <w:rFonts w:ascii="Times New Roman" w:hAnsi="Times New Roman" w:cs="Times New Roman"/>
          <w:color w:val="000000"/>
          <w:sz w:val="20"/>
          <w:szCs w:val="20"/>
        </w:rPr>
        <w:t>[2001] 2 EA 540.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(5) Kenya Commercial Bank Ltd v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Kariuki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[2001] LLR 1642 (CCK).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(6)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Wamboko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[1982-88] 1 KAR 625.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(7)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Kanorero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River Farm Ltd and others v National Bank of Kenya Ltd [2001] LLR 1056 (CCK)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These</w:t>
      </w:r>
      <w:proofErr w:type="gramEnd"/>
      <w:r>
        <w:rPr>
          <w:rFonts w:ascii="Times New Roman" w:hAnsi="Times New Roman" w:cs="Times New Roman"/>
          <w:color w:val="000000"/>
        </w:rPr>
        <w:t xml:space="preserve"> cases concerned the subject at issue here.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Galot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Kenya National Capital</w:t>
      </w:r>
      <w:r w:rsidR="005B625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Corporation </w:t>
      </w:r>
      <w:r>
        <w:rPr>
          <w:rFonts w:ascii="Times New Roman" w:hAnsi="Times New Roman" w:cs="Times New Roman"/>
          <w:color w:val="000000"/>
        </w:rPr>
        <w:t>the issue was whether the Court has jurisdiction to review consent orders and the grounds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interfering with a consent order.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concerned a review of a consent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judgment, and so did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Kanorero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River Farm Ltd</w:t>
      </w:r>
      <w:r>
        <w:rPr>
          <w:rFonts w:ascii="Times New Roman" w:hAnsi="Times New Roman" w:cs="Times New Roman"/>
          <w:color w:val="000000"/>
        </w:rPr>
        <w:t>. For the purpose of the first leg of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applicant’s application I shall refer to the holding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judgment of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 at 626 and 628. At 626 he said: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now settled law that a consent judgment or order has contractual effect and can only be set aside on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grounds which would justify setting a contract aside, or if certain conditions remain to be fulfilled, which are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carried out”.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Purcell v FC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Trigell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[1970] 3 All ER 671, Winn LJ said at 676: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seems to me that, if a consent order is to be set aside, it can really only be set aside on grounds which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justify the setting aside of a contract entered into with knowledge of the material matters by legally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competent persons, and I see no suggestion here that any matter that occurred would justify setting aside or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rectification of this order looked as a contract.”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decision was followed in </w:t>
      </w:r>
      <w:r>
        <w:rPr>
          <w:rFonts w:ascii="Times New Roman" w:hAnsi="Times New Roman" w:cs="Times New Roman"/>
          <w:i/>
          <w:iCs/>
          <w:color w:val="000000"/>
        </w:rPr>
        <w:t xml:space="preserve">Channel Ltd v FW Woodworth and Co Ltd </w:t>
      </w:r>
      <w:r>
        <w:rPr>
          <w:rFonts w:ascii="Times New Roman" w:hAnsi="Times New Roman" w:cs="Times New Roman"/>
          <w:color w:val="000000"/>
        </w:rPr>
        <w:t>[1981] 1 All ER 745, per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Buckley LJ at 571, and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Siebe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Gorman and Company v Principal </w:t>
      </w:r>
      <w:r>
        <w:rPr>
          <w:rFonts w:ascii="Times New Roman" w:hAnsi="Times New Roman" w:cs="Times New Roman"/>
          <w:color w:val="000000"/>
        </w:rPr>
        <w:t>[1982] LR 185 per Lord Denning MR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189 and </w:t>
      </w:r>
      <w:proofErr w:type="spellStart"/>
      <w:r>
        <w:rPr>
          <w:rFonts w:ascii="Times New Roman" w:hAnsi="Times New Roman" w:cs="Times New Roman"/>
          <w:color w:val="000000"/>
        </w:rPr>
        <w:t>Everleigh</w:t>
      </w:r>
      <w:proofErr w:type="spellEnd"/>
      <w:r>
        <w:rPr>
          <w:rFonts w:ascii="Times New Roman" w:hAnsi="Times New Roman" w:cs="Times New Roman"/>
          <w:color w:val="000000"/>
        </w:rPr>
        <w:t xml:space="preserve"> LJ at 191. It seems the position is exactly the same in East Africa. It was set out by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Windham J as he then was, and approved by the Court of Appeal for East Africa,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Hirani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 w:rsidR="005B625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[1952] 19 EACA 131 at 134 as follows: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mode of paying the debt, then, is part of the consent of judgment. That being so, the Court cannot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interfere with it except in such circumstances as would afford good ground for varying or rescinding a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contract between the parties. No such ground was alleged here. The position is clearly set out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Section ...</w:t>
      </w:r>
      <w:r w:rsidR="005B625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Judgments and Orders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(7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Volume 1 at 124, as follows: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any order made in the presence of and with consent of counsel is binding on all parties to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proceedings or action, and on those claiming under them and cannot be varied or discharged unless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obtained by fraud or collusion, or by an agreement contrary to the policy of the Court or if the consent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given without sufficient material facts, or in misapprehension or in ignorance of material facts, or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general for a reason which would enable the Court to set aside an agreement’”.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passage was followed by the same court in </w:t>
      </w:r>
      <w:r>
        <w:rPr>
          <w:rFonts w:ascii="Times New Roman" w:hAnsi="Times New Roman" w:cs="Times New Roman"/>
          <w:i/>
          <w:iCs/>
          <w:color w:val="000000"/>
        </w:rPr>
        <w:t xml:space="preserve">Brooke Bond Liebig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266 at 269 in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Law Ag P said: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court cannot interfere with a consent judgment except in such circumstances as would afford good ground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varying or rescinding a contract between parties”.</w:t>
      </w:r>
      <w:r w:rsidR="005B6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position of the parties advocates, it is not necessary to record in a consent judgment or order that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“parties” or “their advocates” consent to the consent judgment or order entered, for the advocates as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agents of their clients it will be an unusual situation where a consent judgment or order would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entered into except in the presence of either the parties or their advocates.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Chandless-Chandless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5B625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Nicholson </w:t>
      </w:r>
      <w:r>
        <w:rPr>
          <w:rFonts w:ascii="Times New Roman" w:hAnsi="Times New Roman" w:cs="Times New Roman"/>
          <w:color w:val="000000"/>
        </w:rPr>
        <w:t>[1994] 2 All ER 315 at 317 Lord Greene MR stated the universal practice is to record that a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or order is by consent, if that be the case, and it is difficult to believe unless demonstrably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 otherwise that the Court would so head the judgment if it were not the case, at least so far as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was aware. Further </w:t>
      </w:r>
      <w:r>
        <w:rPr>
          <w:rFonts w:ascii="Times New Roman" w:hAnsi="Times New Roman" w:cs="Times New Roman"/>
          <w:i/>
          <w:iCs/>
          <w:color w:val="000000"/>
        </w:rPr>
        <w:t xml:space="preserve">Waugh v HB Clifford and sons </w:t>
      </w:r>
      <w:r>
        <w:rPr>
          <w:rFonts w:ascii="Times New Roman" w:hAnsi="Times New Roman" w:cs="Times New Roman"/>
          <w:color w:val="000000"/>
        </w:rPr>
        <w:t xml:space="preserve">[1982]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374 is persuasive authority that a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solicitor or counsel would ordinarily have ostensible authority to compromise a suit so far as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opponent is concerned.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the words of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JA in </w:t>
      </w:r>
      <w:r>
        <w:rPr>
          <w:rFonts w:ascii="Times New Roman" w:hAnsi="Times New Roman" w:cs="Times New Roman"/>
          <w:i/>
          <w:iCs/>
          <w:color w:val="000000"/>
        </w:rPr>
        <w:t xml:space="preserve">Flora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Nasike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I can detect no valid reasons on the record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saying that there exist grounds such as I have referred to which would justify the setting aside of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decree as a contract. Following again the edicts of rule 3(1) of the Order XLIV, that where it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to the Court that there is not sufficient ground for review, it shall dismiss the application. I am of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view that for the reasons given, there are no grounds or sufficient grounds for varying or setting aside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consent decree passed on 22 January 2003 and issued on 26 January 2003 and this part of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application fails.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leaves the Court to consider the second substantive leg of the applicant’s application, that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injunctive reliefs be granted to the applicant’s pending the determination of this suit, that is to say,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be restrained from selling by public auction or otherwise, and the respondent’s by itself or by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officers, employees, servants or agents, be restrained from selling the suit property (that is to say title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</w:t>
      </w:r>
      <w:proofErr w:type="spellStart"/>
      <w:r>
        <w:rPr>
          <w:rFonts w:ascii="Times New Roman" w:hAnsi="Times New Roman" w:cs="Times New Roman"/>
          <w:color w:val="000000"/>
        </w:rPr>
        <w:t>Eldoret</w:t>
      </w:r>
      <w:proofErr w:type="spellEnd"/>
      <w:r>
        <w:rPr>
          <w:rFonts w:ascii="Times New Roman" w:hAnsi="Times New Roman" w:cs="Times New Roman"/>
          <w:color w:val="000000"/>
        </w:rPr>
        <w:t xml:space="preserve"> Municipality Block 10/34) pending the determination of this suit. From the analysis of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this case and findings above that there are no grounds for reviewing the consent orders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herein, the plaintiff has not satisfied the cardinal principles for granting of an interlocutory injunction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laid down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 Ltd </w:t>
      </w:r>
      <w:r>
        <w:rPr>
          <w:rFonts w:ascii="Times New Roman" w:hAnsi="Times New Roman" w:cs="Times New Roman"/>
          <w:color w:val="000000"/>
        </w:rPr>
        <w:t>[1973] EA 358. These are firstly that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must establish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success. Secondly that unless an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is granted, the applicant will suffer irreparable loss which will not be sufficiently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compensated in damages, and thirdly if in doubt, the Court will decide the matter on the balance of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convenience.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the respondent were not a sound lending institution, this is one of those cases where the Court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refuse to grant an interlocutory injunction. The applicant has not made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case </w:t>
      </w:r>
      <w:r>
        <w:rPr>
          <w:rFonts w:ascii="Times New Roman" w:hAnsi="Times New Roman" w:cs="Times New Roman"/>
          <w:color w:val="000000"/>
        </w:rPr>
        <w:lastRenderedPageBreak/>
        <w:t>with a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probability of success. Counsel for the applicant told the Court that the respondent never gave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statutory notice required under the provisions of section 74 of the Registered Land Act. A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reading of paragraphs 10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dated and filed on 16 January 2003 clearly shows that such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was given. As to whether the charge was defective and therefore unenforceable, I find that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on the face of it clearly states that it was an instrument prepared in a manner approved by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Land Registrar in terms of section 108 of the Registered Land Act. Similarly the responsible Land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examined it and caused it to be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duly registered. There are no other grounds for impinging its legality or validity, and therefore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enforceability. The applicant’s application must also fail in this ground as well.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Finally, there is left to deal with, the applicant application in the alternative, “that without prejudice to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foregoing, injunctive relief do issue in respect of the plant, machinery and equipment and other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chattels”. On this point, the respondent’s counsel told the Court that the respondent was prepared to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 that in absence of a chattel’s mortgage it was not entitled to sell the applicant’s plant, machinery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equipment and other chattels situate on the suit property that is land. Indeed this is the legal position,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 the absence of such a chattels mortgage or a general debenture, the respondent has no legal basis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selling the said movable and therefore removable assets, on the footing that the land and other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improvements on the suit property are adequate if sold at the best price in a forced sale and would satisfy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consent decree. The applicant therefore succeeds on this point, and the respondent is therefore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restrained from advertising for sale, by public auction or private contract, the plant, equipment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machinery and other chattels currently installed in buildings stores or other facilities in the suit land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issue to the applicant written undertaking in terms that the respondent shall in advertisement of the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land specifically exclude from such advertisement reference to the sale of the plant, machinery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equipment and other chattels situate upon the suit land, and shall carry out such advertisement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strictly in terms of and in conformity with the contract, charge instrument, decree and all statutory and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provisions applicable to the intended sale”.</w:t>
      </w:r>
      <w:r w:rsidR="005B625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shall be orders accordingly. As each party has on its own peculiar way succeeded in this matter,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order that each party shall bear its own costs.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King’ara</w:t>
      </w:r>
      <w:proofErr w:type="spellEnd"/>
    </w:p>
    <w:p w:rsidR="009F47A6" w:rsidRDefault="009F47A6" w:rsidP="009F4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9F47A6" w:rsidP="009F47A6">
      <w:proofErr w:type="spellStart"/>
      <w:r>
        <w:rPr>
          <w:rFonts w:ascii="Times New Roman" w:hAnsi="Times New Roman" w:cs="Times New Roman"/>
          <w:i/>
          <w:iCs/>
          <w:color w:val="000000"/>
        </w:rPr>
        <w:t>Ashitiva</w:t>
      </w:r>
      <w:proofErr w:type="spellEnd"/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A6"/>
    <w:rsid w:val="005B625E"/>
    <w:rsid w:val="009F47A6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FC648-BB63-41BB-8F51-42C2D0D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3651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2018-07-03T13:37:00Z</dcterms:created>
  <dcterms:modified xsi:type="dcterms:W3CDTF">2018-07-12T11:25:00Z</dcterms:modified>
</cp:coreProperties>
</file>