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Ethiopian Airlines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Motunrola</w:t>
      </w:r>
      <w:proofErr w:type="spellEnd"/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September 2005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30/03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DCJ,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Extrinsic evidence – Applicability of extrinsic evidence – Extrinsic evidence where there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documentation.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International law and conventions – Applicability of the Warsaw Convention to contracts of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carriage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7846CF" w:rsidRDefault="007846CF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JUDGEMENT 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DCJ: </w:t>
      </w:r>
      <w:r>
        <w:rPr>
          <w:rFonts w:ascii="Times New Roman" w:hAnsi="Times New Roman" w:cs="Times New Roman"/>
          <w:color w:val="000000"/>
        </w:rPr>
        <w:t>This appeal is instituted by Ethiopian Airlines, which hereinafter I shall refer</w:t>
      </w:r>
    </w:p>
    <w:p w:rsidR="00E454A2" w:rsidRDefault="00E454A2" w:rsidP="007846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as the appellant. It is brought against the judgment and orders in High Court civil suit number 917 of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1997 dated 25 September 2002 and passed in favour of </w:t>
      </w:r>
      <w:proofErr w:type="spellStart"/>
      <w:r>
        <w:rPr>
          <w:rFonts w:ascii="Times New Roman" w:hAnsi="Times New Roman" w:cs="Times New Roman"/>
          <w:color w:val="000000"/>
        </w:rPr>
        <w:t>Olowu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Motunrola</w:t>
      </w:r>
      <w:proofErr w:type="spellEnd"/>
      <w:r>
        <w:rPr>
          <w:rFonts w:ascii="Times New Roman" w:hAnsi="Times New Roman" w:cs="Times New Roman"/>
          <w:color w:val="000000"/>
        </w:rPr>
        <w:t>, the respondent.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Briefly, the background of the appeal is that at the material time the respondent was a passenger/client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appellant as a frequent flier Lagos Entebbe route. On 5 February 1999, the respondent was a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 on the appellant’s aircraft from Lagos via Addis Ababa and Nairobi to Entebbe Airport. Before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boarding the aircraft she duly checked in all her luggage and identified it. It was tagged and subsequently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loaded on the aircraft.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arrival at Entebbe Airport, her final destination on 6 February 1999, she noticed that part of her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luggage was missing. It was lost and/or had been converted by the servants of the appellant working in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course of their employment. The respondent made and produced a list of the lost items, valued at US$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3476. Further, she explained that, with the permission of the area manager of Lagos Airport, </w:t>
      </w:r>
      <w:proofErr w:type="spellStart"/>
      <w:r>
        <w:rPr>
          <w:rFonts w:ascii="Times New Roman" w:hAnsi="Times New Roman" w:cs="Times New Roman"/>
          <w:color w:val="000000"/>
        </w:rPr>
        <w:t>Smeili</w:t>
      </w:r>
      <w:proofErr w:type="spellEnd"/>
      <w:r w:rsidR="007846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Shabira</w:t>
      </w:r>
      <w:proofErr w:type="spellEnd"/>
      <w:r>
        <w:rPr>
          <w:rFonts w:ascii="Times New Roman" w:hAnsi="Times New Roman" w:cs="Times New Roman"/>
          <w:color w:val="000000"/>
        </w:rPr>
        <w:t>, she paid 10kg as excess luggage. Immediately after the respondent discovered the loss of her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piece of luggage, she lodged a complaint with Kampala area manager at that time, Solomon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Debebe</w:t>
      </w:r>
      <w:proofErr w:type="spellEnd"/>
      <w:r>
        <w:rPr>
          <w:rFonts w:ascii="Times New Roman" w:hAnsi="Times New Roman" w:cs="Times New Roman"/>
          <w:color w:val="000000"/>
        </w:rPr>
        <w:t>. The said manager issued her with a document headed “Loss Baggage Questionnaire”. A copy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thereof was annexed as annexure A. Although the respondent acted promptly to fill the questionnaire and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returned it to the office of the area </w:t>
      </w:r>
      <w:proofErr w:type="spellStart"/>
      <w:r>
        <w:rPr>
          <w:rFonts w:ascii="Times New Roman" w:hAnsi="Times New Roman" w:cs="Times New Roman"/>
          <w:color w:val="000000"/>
        </w:rPr>
        <w:t>manger</w:t>
      </w:r>
      <w:proofErr w:type="spellEnd"/>
      <w:r>
        <w:rPr>
          <w:rFonts w:ascii="Times New Roman" w:hAnsi="Times New Roman" w:cs="Times New Roman"/>
          <w:color w:val="000000"/>
        </w:rPr>
        <w:t>, her missing bag was not recovered. Further, despite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repeated demands and reminders the respondent was not paid US$ 3746 (being the value of her lost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property). It was contended for her, that as a common carrier, the appellant had a duty to safely deliver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luggage at Entebbe Airport which was not done. The failure to do so was seen as gross negligence on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 of the appellant. For the aforesaid reason, the respondent instructed her counsel to sue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for recovery of US$ 3476 or its equivalent in Ugandan shillings. She also prayed for general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the inconvenience and suffering due to the loss of her bag as well as costs.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denied any liability. As far as it was concerned, the respondent was not entitled to any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 in the alternative and without prejudice, if given any relief</w:t>
      </w:r>
      <w:proofErr w:type="gramStart"/>
      <w:r>
        <w:rPr>
          <w:rFonts w:ascii="Times New Roman" w:hAnsi="Times New Roman" w:cs="Times New Roman"/>
          <w:color w:val="000000"/>
        </w:rPr>
        <w:t>,,</w:t>
      </w:r>
      <w:proofErr w:type="gramEnd"/>
      <w:r>
        <w:rPr>
          <w:rFonts w:ascii="Times New Roman" w:hAnsi="Times New Roman" w:cs="Times New Roman"/>
          <w:color w:val="000000"/>
        </w:rPr>
        <w:t xml:space="preserve"> such would be limited under the terms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contract of carriage with the appellant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Besides, the respondent on 5 February 1999 checked in 30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kilograms of luggage at Lagos, which on arrival at Entebbe was found to be more by 25 kilograms. In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the appellant would not accept to pay for loss of goods that had not been declared.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relied on the testimony given by their area manager,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Wamala</w:t>
      </w:r>
      <w:proofErr w:type="spellEnd"/>
      <w:r>
        <w:rPr>
          <w:rFonts w:ascii="Times New Roman" w:hAnsi="Times New Roman" w:cs="Times New Roman"/>
          <w:color w:val="000000"/>
        </w:rPr>
        <w:t xml:space="preserve"> and the Warsaw Convention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governing the contractual relationship between the parties. Judgment was passed in favour of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against the appellant, as follows: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US$ 600 being the value of 30 kilograms of the lost piece of luggage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Uganda shillings 3 million, for the inconvenience and suffering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Costs under Article 22(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Warsaw Convention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Dissatisfied with the decision of the High Court, the appellant instructed its counsel, </w:t>
      </w:r>
      <w:proofErr w:type="spellStart"/>
      <w:r>
        <w:rPr>
          <w:rFonts w:ascii="Times New Roman" w:hAnsi="Times New Roman" w:cs="Times New Roman"/>
          <w:color w:val="000000"/>
        </w:rPr>
        <w:t>Katende</w:t>
      </w:r>
      <w:proofErr w:type="spellEnd"/>
      <w:r w:rsidR="007846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Ssempebwa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 to lodge the appeal to this Court. The appeal is based on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four grounds.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 The learned Judge erred in law and fact when she relied on the oral testimony of the respondent (PW1)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vary the terms of the contract of carriage on the question of contractual weight of luggage in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fact in holding that the respondent checked in two pieces of luggage,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weighing 30 kilograms each, thereby coming to wrong conclusion.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in the award of US$ 600 as special damages to the respondent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loss of baggage.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in the award of general damages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million for inconvenience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plaintiff and that it was inequitable to grant that remedy when the respondent had come to court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unclean hands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was prayed as follows: to allow the appeal and set aside the judgment and orders of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High Court.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I n the alternative and without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prejudice, this Court finds that the respondent could not have lost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awarded kilograms of baggage in contractual weight.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I n the further alternative, that this Court finds that the award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million to the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in general damages is inequitable in the circumstances of the case.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osts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appeal.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hearing of this appeal the appellant was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whilst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Furah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presented his submissions orally. On the other hand, on application,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7846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Furah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filed written submissions. Although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opted to argue the four grounds separately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that order he apparently did not strictly conform to it because his submissions on ground 1 covered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2 too. He intimated to court that on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number 2, he decided to adopt his submissions on ground 1. He was justified for there is a lot of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overlapping between the two.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Ground 1</w:t>
      </w:r>
      <w:r w:rsidR="007846C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on ground number 1 is that the learned trial Judge erred in law when she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on the oral evidence of the respondent to vary the terms of the contract of carriage on the question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contractual weight of luggage checked in by the respondent on the appellant’s aircraft on 5 February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1999 at Lagos Airport.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from the air ticket (exhibit P2) and excess baggage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ticket (exhibit P3) the respondent checked in and paid for 2 pieces of luggage both weighing 30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kilograms. The air ticket (exhibit P2) entitlement was 20 kilograms and the paid up excess baggage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weight was 10 kilograms. It is, hence, not disputed that both tickets, exhibit P2 and exhibit P3, </w:t>
      </w:r>
      <w:proofErr w:type="gramStart"/>
      <w:r>
        <w:rPr>
          <w:rFonts w:ascii="Times New Roman" w:hAnsi="Times New Roman" w:cs="Times New Roman"/>
          <w:color w:val="000000"/>
        </w:rPr>
        <w:t>showed</w:t>
      </w:r>
      <w:proofErr w:type="gramEnd"/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total weight of the baggage checked in by the respondent on boarding the plane at Lagos as 30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kilograms. However, on arrival at Entebbe Airport, the respondent received 55 kilograms which was in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 of the total checked in baggage, namely exhibits P2 and P3. Contrary to documentary evidence,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P2 and P3, the respondent in her evidence-in-chief testified that when her 2 bags were weighed at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Lagos, the check point, she had 62 kilograms of baggage. She, however, said she did not know the weight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each bag separately, because they were weighed together. Believing her testimony the learned Judge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to the following conclusion: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“Both the air ticket (exhibit P2) and the excess baggage ticket show that the plaintiff checked in two 30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kilogram pieces of luggage. Exhibit P3 shows that she paid US dollars 6637-10 for excess weight. She has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explained that the manager allowed her to pay 10 kilograms instead of all the excess weight above her 20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kilograms allowance. The luggage weighs 62 kilograms. She is not to blame if they rendered only 60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kilograms.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absence of any contrary evidence, I believe the plaintiff’s version and find that the luggage was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checked at Lagos Airport in the manner described in the plaint and in plaintiff’s testimony.”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Relying on sections 91 and 92 of the Evidence Act, the Warsaw Convention and </w:t>
      </w:r>
      <w:r>
        <w:rPr>
          <w:rFonts w:ascii="Times New Roman" w:hAnsi="Times New Roman" w:cs="Times New Roman"/>
          <w:i/>
          <w:iCs/>
          <w:color w:val="000000"/>
        </w:rPr>
        <w:t>Uganda Revenue</w:t>
      </w:r>
      <w:r w:rsidR="007846C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Authority v Steven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Mabosi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civil appeal number 26 of 1995 Volume II (1996) KALR 1,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oral testimony the learned Judge believed was inadmissible. It was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erroneous for her to admit oral evidence of the respondent to vary the tickets to admit the weight of 62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kilograms.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ground number 2, counsel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trial Judge for holding that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checked in 2 pieces of luggage weighing 30 kilograms each and thereby came to a wrong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on ground 1, it was submitted for the respondent that it was </w:t>
      </w:r>
      <w:proofErr w:type="spellStart"/>
      <w:r>
        <w:rPr>
          <w:rFonts w:ascii="Times New Roman" w:hAnsi="Times New Roman" w:cs="Times New Roman"/>
          <w:color w:val="000000"/>
        </w:rPr>
        <w:t>far fetched</w:t>
      </w:r>
      <w:proofErr w:type="spellEnd"/>
      <w:r>
        <w:rPr>
          <w:rFonts w:ascii="Times New Roman" w:hAnsi="Times New Roman" w:cs="Times New Roman"/>
          <w:color w:val="000000"/>
        </w:rPr>
        <w:t xml:space="preserve">. The area </w:t>
      </w:r>
      <w:proofErr w:type="spellStart"/>
      <w:r>
        <w:rPr>
          <w:rFonts w:ascii="Times New Roman" w:hAnsi="Times New Roman" w:cs="Times New Roman"/>
          <w:color w:val="000000"/>
        </w:rPr>
        <w:t>manger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Lagos as a representative in course of his employment would be stopped from denying that he committed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to another contract other than that contained in the tickets which constituted the contract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parties. Counsel vehemently argued that “the excess baggage ticket” is an addendum to the air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ticket which impliedly can be read together. As far as he was concerned, the learned trial Judge was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justified to rely on the respondent’s testimony so far as it was not rebutted or controverted by DW1,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Wamala</w:t>
      </w:r>
      <w:proofErr w:type="spellEnd"/>
      <w:r>
        <w:rPr>
          <w:rFonts w:ascii="Times New Roman" w:hAnsi="Times New Roman" w:cs="Times New Roman"/>
          <w:color w:val="000000"/>
        </w:rPr>
        <w:t xml:space="preserve"> Suleiman, the appellant’s representative in Uganda. Surprisingly, 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confessed he did not know what had transpired at Lagos Airport on 5 February 1999. In the alternative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without prejudice, counsel for the respondent submitted that the learned Judge’s reliance on the oral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testimony of the plaintiff did not and does not have the effect of amending/altering and or varying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of carriage. To him it is vital in assisting the court to establish that the air ticket (pursuant) to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Article 3(2) of Warsaw Convention as amended by The Hague (1935) was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and conditions of the contract of carriage. Counsel, further, argued that the appellant’s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manager in Lagos, acting in the course of his employment expanded the terms of carriage both by oral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and through an excess baggage ticket. For the aforesaid reason, he submitted, that the learned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could not be faulted for admission and reliance on that evidence especially as counsel for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did not lead any evidence in rebuttal. Counsel prayed the court to dismiss this ground.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 2, counsel for the respondent corrected counsel for the appellant that the learned trial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made no finding to the effect that the pieces of luggage checked </w:t>
      </w:r>
      <w:r>
        <w:rPr>
          <w:rFonts w:ascii="Times New Roman" w:hAnsi="Times New Roman" w:cs="Times New Roman"/>
          <w:color w:val="000000"/>
        </w:rPr>
        <w:lastRenderedPageBreak/>
        <w:t>in by the respondent weighed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30kg each. She, therefore, did not reach an erroneous or wrong decision. He explained that the learned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found as a fact that: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“Both the air ticket (exhibit P2) and excess baggage ticket, show that the plaintiff checked in two 30kg pieces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luggage…she explained that the manager allowed her to pay 10 kilograms instead of all the excess weight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above her 20 kilograms allowance. The luggage weighed 62 kilograms … the judgment”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any case in the absence of separate weights of each bag the learned trial Judge could not be faulted for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findings she made. Counsel prayed court to reject this ground too.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convenience and due to overlapping I proposed to consider the two grounds together. The answer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issues and arguments advanced by both counsel for the parties will not be hard to find. This is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most of them involve points of law. First and foremost it is not disputed by the parties that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of carriage between them is governed by the Warsaw Convention.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 provides as follows: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 This Convention applies to all international carriage of persons, luggage or goods performed by air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crafts for reward. It applies equally…”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Article 3(1) of the convention makes it clear that the Warsaw Convention provides passengers’ tickets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delivered to a passenger shall contain notice that the Warsaw Convention may be applicable and that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convention limits liability to carriers for death or personal injury and in respect of loss or damage to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baggage.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Article 3(2) further provides that “the passenger’s ticket shall constitute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and conditions of the contract of carriage”.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under Article 1 the Warsaw Convention is applicable to all international flights by a carrier.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in this case was covered. She was bound by the Convention when she decided to travel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appellant’s aircraft. Counsel cannot be right to suggest that the reliance on the respondent’s oral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by the learned Judge assisted to establish the applicability of the Convention to the contract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the parties. It was not necessary. For example, it is a </w:t>
      </w:r>
      <w:proofErr w:type="spellStart"/>
      <w:r>
        <w:rPr>
          <w:rFonts w:ascii="Times New Roman" w:hAnsi="Times New Roman" w:cs="Times New Roman"/>
          <w:color w:val="000000"/>
        </w:rPr>
        <w:t>well known</w:t>
      </w:r>
      <w:proofErr w:type="spellEnd"/>
      <w:r>
        <w:rPr>
          <w:rFonts w:ascii="Times New Roman" w:hAnsi="Times New Roman" w:cs="Times New Roman"/>
          <w:color w:val="000000"/>
        </w:rPr>
        <w:t xml:space="preserve"> fact that as a passenger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travelling in economy class, the respondent’s entitlement was 20kg as indicated on the ticket itself. That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never been informed so by the appellant is immaterial. All the information regarding the provisions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Convention is written on the air ticket. In any case ignorance of the law is not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relevant Articles applicable to this appeal include 18, 19, 22 and 24. I, therefore, accept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7846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 that the terms of the contract in this appeal and the liabilities between the parties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governed by the Warsaw Convention.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Furah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 that the first ground of this case is </w:t>
      </w:r>
      <w:proofErr w:type="spellStart"/>
      <w:r>
        <w:rPr>
          <w:rFonts w:ascii="Times New Roman" w:hAnsi="Times New Roman" w:cs="Times New Roman"/>
          <w:color w:val="000000"/>
        </w:rPr>
        <w:t>far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fetched</w:t>
      </w:r>
      <w:proofErr w:type="spellEnd"/>
      <w:r>
        <w:rPr>
          <w:rFonts w:ascii="Times New Roman" w:hAnsi="Times New Roman" w:cs="Times New Roman"/>
          <w:color w:val="000000"/>
        </w:rPr>
        <w:t xml:space="preserve"> is not supported by evidence. On the contrary, I find it pertinent.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due respect in the circumstances of this case, the learned trial Judge should not have relied on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evidence to vary the provisions of the convention relating to this matter. The air ticket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excess baggage ticket contained the necessary information regarding the weight of the bags checked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in. There was no justification for the respondent’s oral evidence to account for the figures of 60 and 62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kilograms which the respondent claimed to be the total weight of her luggage at the check in point at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Lagos Airport. The law is very clear on admission of intrinsic evidence. In this regard, I am fortified by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provisions sections 90 and 92 of the Evidence Act and the holding of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JSC in </w:t>
      </w:r>
      <w:r>
        <w:rPr>
          <w:rFonts w:ascii="Times New Roman" w:hAnsi="Times New Roman" w:cs="Times New Roman"/>
          <w:i/>
          <w:iCs/>
          <w:color w:val="000000"/>
        </w:rPr>
        <w:t>Uganda</w:t>
      </w:r>
      <w:r w:rsidR="007846C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Revenue Authority v Steven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Mabosi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26 of 1995. I agree with the said justice that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extrinsic evidence cannot be used to vary, alter the contents of a written document. This holding is in line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principle laid down in sections 90, 91 and 92 of the Evidence Act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Section 91 reads as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the terms of a contract or of a grant or of any other disposition of property have been reduced to the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 of a document and in all cases in which any matter is required by law to be reduced to the form of a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document, no evidence except as mentioned in section 79, shall be given in proof of the terms of that contract,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 or other disposition of property or of such matter except the document itself, or secondary evidence of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contracts in cases in which secondary evidence under the provisions herein before contained.”</w:t>
      </w:r>
      <w:r w:rsidR="007846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appreciate the point raised by counsel for the respondent in respect of the role played by the area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manager at Lagos, who authorised payment of 10 kilograms excess luggage. It is true he was and is a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and agent of the appellant and he would commit the appellant in appropriate cases. In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instant appeal, however, even if the manager was acting in course of his duty as a representative of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he could not have committed the appellant because this Court cannot sanction what is illegal.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commitment, in </w:t>
      </w:r>
      <w:proofErr w:type="spellStart"/>
      <w:r>
        <w:rPr>
          <w:rFonts w:ascii="Times New Roman" w:hAnsi="Times New Roman" w:cs="Times New Roman"/>
          <w:color w:val="000000"/>
        </w:rPr>
        <w:t>view</w:t>
      </w:r>
      <w:proofErr w:type="gramStart"/>
      <w:r>
        <w:rPr>
          <w:rFonts w:ascii="Times New Roman" w:hAnsi="Times New Roman" w:cs="Times New Roman"/>
          <w:color w:val="000000"/>
        </w:rPr>
        <w:t>,of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 position of the law on the matter, would be of no effect. Once an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illegality is brought to the attention of the court, it overrides all questions of pleadings including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admissions made therein.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 the doctrine of estoppel raised by the learned Counsel for the respondent would not apply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same reasons. I accept the submission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had the learned trial Judge not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the respondent’s oral testimony she would have come to a different conclusion. For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aforesaid reasons </w:t>
      </w:r>
      <w:r>
        <w:rPr>
          <w:rFonts w:ascii="Times New Roman" w:hAnsi="Times New Roman" w:cs="Times New Roman"/>
          <w:color w:val="000000"/>
        </w:rPr>
        <w:lastRenderedPageBreak/>
        <w:t>this ground must succeed and I find it is sufficient to dispose of the appeal.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 number 2 a lot of the evaluation above is also applicable to it. Firstly without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admission of the oral evidence by the respondent, there is no way the learned Judge would have reached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she did in the case. She believed the respondent that her luggage weighed 60 kilograms.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she assumed that each piece of luggage weighed 30 kilograms hence the award of special damages of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US$ 600 for the lost bag. I am unable to accept the submission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Furah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learned Judge did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make a finding to that effect. Apparently she based her decision on that proposition cited by counsel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in essence was a finding that each piece of luggage weighed 30 kilograms. For the reasons already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above the omission by counsel for the appellant to adduce evidence in rebuttal was not detrimental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his case. Further, even if it was true each piece weighed 30 kilograms there is the problem of the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bag having excess weight of 25 kilograms. The bag weighed 55 kilograms instead of 30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kilograms. As it was rightly calculated by counsel for the appellant, the respondent in those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would be entitled to US$ 100 only for a balance of 5 kilograms. However, tainted with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illegality the respondent would not be able to recover that amount. The court will not condone an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illegality and base a decision on it. As the record stands before the court, this ground must also succeed.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 the remaining two grounds cannot stand as these two grounds would dispose of the appeal. This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would, hence, be allowed. I would set aside the judgment and orders of the High Court. Bearing in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mind the circumstances of this appeal I would order each party to bear its own costs.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Since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JJA hold similar views, by a unanimous decision of this Court</w:t>
      </w:r>
      <w:r w:rsidR="007846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 is allowed. Each party will bear its own costs.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DCJ.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454A2" w:rsidRDefault="00E454A2" w:rsidP="00E4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Madrama</w:t>
      </w:r>
      <w:proofErr w:type="spellEnd"/>
    </w:p>
    <w:p w:rsidR="0080578A" w:rsidRDefault="00E454A2" w:rsidP="00E454A2">
      <w:r>
        <w:rPr>
          <w:rFonts w:ascii="Times New Roman" w:hAnsi="Times New Roman" w:cs="Times New Roman"/>
          <w:color w:val="000000"/>
        </w:rPr>
        <w:t>For the respondent: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A2"/>
    <w:rsid w:val="007846CF"/>
    <w:rsid w:val="0080578A"/>
    <w:rsid w:val="00E4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CB77-C20F-4348-B3A6-10CE6D1D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2018-07-04T18:57:00Z</dcterms:created>
  <dcterms:modified xsi:type="dcterms:W3CDTF">2018-07-12T11:29:00Z</dcterms:modified>
</cp:coreProperties>
</file>