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Eugen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Hadija</w:t>
      </w:r>
      <w:proofErr w:type="spellEnd"/>
    </w:p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October 1973</w:t>
      </w:r>
    </w:p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29/1973 (1/74)</w:t>
      </w:r>
    </w:p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Spry V-P and Law JA</w:t>
      </w:r>
    </w:p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Tanzania – </w:t>
      </w:r>
      <w:proofErr w:type="spellStart"/>
      <w:r>
        <w:rPr>
          <w:rFonts w:ascii="Times New Roman" w:hAnsi="Times New Roman" w:cs="Times New Roman"/>
          <w:color w:val="000000"/>
        </w:rPr>
        <w:t>Kwikima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Ag.J</w:t>
      </w:r>
      <w:proofErr w:type="spellEnd"/>
    </w:p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Matrimonial Causes – Maintenance – Wife in desertion – No liability on husband to maintain wife –</w:t>
      </w:r>
    </w:p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Marriage Act </w:t>
      </w:r>
      <w:r>
        <w:rPr>
          <w:rFonts w:ascii="Times New Roman" w:hAnsi="Times New Roman" w:cs="Times New Roman"/>
          <w:color w:val="000000"/>
        </w:rPr>
        <w:t xml:space="preserve">1971,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63 (</w:t>
      </w:r>
      <w:r>
        <w:rPr>
          <w:rFonts w:ascii="Times New Roman" w:hAnsi="Times New Roman" w:cs="Times New Roman"/>
          <w:i/>
          <w:iCs/>
          <w:color w:val="000000"/>
        </w:rPr>
        <w:t>T.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5C7B79" w:rsidRDefault="0020440E" w:rsidP="005C7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  <w:r w:rsidR="005C7B79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20440E" w:rsidRDefault="0020440E" w:rsidP="005C7B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Spry V-P: </w:t>
      </w:r>
      <w:r>
        <w:rPr>
          <w:rFonts w:ascii="Times New Roman" w:hAnsi="Times New Roman" w:cs="Times New Roman"/>
          <w:color w:val="000000"/>
        </w:rPr>
        <w:t>The parties to this appeal are husband and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wife. They are living apart but neither has petitioned for divorce. The respondent, the wife, sued her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husband, the appellant, in the </w:t>
      </w:r>
      <w:proofErr w:type="spellStart"/>
      <w:r>
        <w:rPr>
          <w:rFonts w:ascii="Times New Roman" w:hAnsi="Times New Roman" w:cs="Times New Roman"/>
          <w:color w:val="000000"/>
        </w:rPr>
        <w:t>Utamini</w:t>
      </w:r>
      <w:proofErr w:type="spellEnd"/>
      <w:r>
        <w:rPr>
          <w:rFonts w:ascii="Times New Roman" w:hAnsi="Times New Roman" w:cs="Times New Roman"/>
          <w:color w:val="000000"/>
        </w:rPr>
        <w:t xml:space="preserve"> Primary Court, claiming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300/- per month as maintenance. She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that her husband had driven her from the matrimonial home without just cause. The magistrate,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agreement with the assessors, decided this issue against the wife. He held, however, that as there had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no divorce, the husband had a duty to maintain his wife. He thought the amount claimed was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excessive. He awarded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600/- as maintenance for six months and ruled that within that time the wife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to apply for separation or divorce or return to her husband and that if she failed to do so, the husband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be liable for any further maintenance.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husband appealed to the District Court, when the magistrate, in agreement with an assessor,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upheld emphatically the finding that the wife had deserted her husband without reason and set aside the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of maintenance, holding that, as the guilty party, she had no claim on her husband.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wife appealed to the High Court, where the judge in a very brief judgment, held that as the parties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not been divorced, the wife’s upkeep was the husband’s responsibility. He restored the award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600/-.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husband now appeals to this court, on a certificate by the High Court that a point of law of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public importance is involved; that is, whether a husband’s duty to maintain his wife subsists if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wife, without good cause, deserts the matrimonial home.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turns entirely on the interpretation to be given to s. 63 of the Law of Marriage Act, 1971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which, so far as is relevant, reads as follows: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“63. Except where the parties are separated by agreement or by decree of the court and subject to any</w:t>
      </w:r>
      <w:r w:rsidR="005C7B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subsisting order of the court–</w:t>
      </w:r>
      <w:r w:rsidR="005C7B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 shall be the duty of every husband to maintain his wife or wives and to provide them with</w:t>
      </w:r>
      <w:r w:rsidR="005C7B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accommodation, clothing and food as may be reasonable having regard to his means and</w:t>
      </w:r>
      <w:r w:rsidR="005C7B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station in life;”.</w:t>
      </w:r>
      <w:r w:rsidR="005C7B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Lubuva</w:t>
      </w:r>
      <w:proofErr w:type="spellEnd"/>
      <w:r>
        <w:rPr>
          <w:rFonts w:ascii="Times New Roman" w:hAnsi="Times New Roman" w:cs="Times New Roman"/>
          <w:color w:val="000000"/>
        </w:rPr>
        <w:t>, who appeared for the Attorney-General as amicus curiae and to whom we are grateful for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assistance, submitted that while, on a strict interpretation of s. 63, the wife would appear entitled to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maintenance, the court ought to take a broader view and look generally to the intention of the legislature.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husband was willing for his wife to return; it was the wife who wished to live apart and in those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she ought not to be entitled to maintenance. He referred also, by way of analogy, to para.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74 of the Restatement of Customary Personal Law (G.N. 279 of 1963), but I think, with respect, that that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must now be regarded as superseded by the relevant provisions of the Act.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I do not think that even a strict interpretation of s. 63 helps the wife’s case. It is true that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absence of an agreement for separation or of a decree of a court, a husband is under a duty to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maintain his wife but the normal way a husband maintains his wife is basically by providing a home,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food and clothes. This, on the evidence, the husband has done in the present case and is still prepared to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do. He has, therefore, discharged his duty. It is not, in my opinion, open to the wife to reject the home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is offered to her and claim instead a money payment to enable her to live where and how she pleases.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would, of course, be different if the standard of living offered were unreasonable or the conduct of the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husband made it impossible for the wife to continue to live with him, but on the concurrent findings of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lower courts and their assessors, that is not the case here.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should perhaps add that while, at first sight, it might appear from the wording of paragraph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s.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63, that the provision of accommodation, clothing and food is distinct from and additional to the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maintaining of a wife, on a closer analysis, it is, I think, clear that what the paragraph means is that it is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duty of a husband to maintain his wife and that in maintaining her, the standard of accommodation,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clothing and food must be reasonable.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think, with respect, that the judge was wrong and I would allow the appeal, set aside the judgment of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and restore that of the District Court. The husband did not apply for costs, and in the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circumstances we </w:t>
      </w:r>
      <w:r>
        <w:rPr>
          <w:rFonts w:ascii="Times New Roman" w:hAnsi="Times New Roman" w:cs="Times New Roman"/>
          <w:color w:val="000000"/>
        </w:rPr>
        <w:lastRenderedPageBreak/>
        <w:t>make no order for costs of the appeal.</w:t>
      </w:r>
      <w:r w:rsidR="005C7B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Duffus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P: </w:t>
      </w:r>
      <w:r>
        <w:rPr>
          <w:rFonts w:ascii="Times New Roman" w:hAnsi="Times New Roman" w:cs="Times New Roman"/>
          <w:color w:val="000000"/>
        </w:rPr>
        <w:t>I have read and entirely agree with the judgment of the Vice-President and as</w:t>
      </w:r>
    </w:p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Law, J.A. also agrees, the appeal is allowed in accordance with the order set out in the judgment of the</w:t>
      </w:r>
    </w:p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Vice-President.</w:t>
      </w:r>
    </w:p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Law JA: </w:t>
      </w:r>
      <w:r>
        <w:rPr>
          <w:rFonts w:ascii="Times New Roman" w:hAnsi="Times New Roman" w:cs="Times New Roman"/>
          <w:color w:val="000000"/>
        </w:rPr>
        <w:t>I agree with the judgment prepared by the Vice-President, which I have read in draft, and with</w:t>
      </w:r>
    </w:p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order proposed.</w:t>
      </w:r>
    </w:p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allowed.</w:t>
      </w:r>
    </w:p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in person.</w:t>
      </w:r>
    </w:p>
    <w:p w:rsidR="0020440E" w:rsidRDefault="0020440E" w:rsidP="0020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absent and unrepresented.</w:t>
      </w:r>
    </w:p>
    <w:p w:rsidR="00664035" w:rsidRDefault="0020440E" w:rsidP="0020440E">
      <w:r>
        <w:rPr>
          <w:rFonts w:ascii="Times New Roman" w:hAnsi="Times New Roman" w:cs="Times New Roman"/>
          <w:i/>
          <w:iCs/>
          <w:color w:val="000000"/>
        </w:rPr>
        <w:t xml:space="preserve">DS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Lubuva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(Principal State Attorney) as amicus curiae.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0E"/>
    <w:rsid w:val="0020440E"/>
    <w:rsid w:val="005C7B79"/>
    <w:rsid w:val="006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9CF2D-9FD2-4E8C-8016-CF32CC55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2018-07-05T12:45:00Z</dcterms:created>
  <dcterms:modified xsi:type="dcterms:W3CDTF">2018-07-12T11:30:00Z</dcterms:modified>
</cp:coreProperties>
</file>