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4E1" w:rsidRDefault="001764E1" w:rsidP="0017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Fina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Bank Ltd v Spares and Industries Ltd</w:t>
      </w:r>
    </w:p>
    <w:p w:rsidR="001764E1" w:rsidRDefault="001764E1" w:rsidP="0017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1764E1" w:rsidRDefault="001764E1" w:rsidP="0017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10 November 2000</w:t>
      </w:r>
    </w:p>
    <w:p w:rsidR="001764E1" w:rsidRDefault="001764E1" w:rsidP="0017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51/00</w:t>
      </w:r>
    </w:p>
    <w:p w:rsidR="001764E1" w:rsidRDefault="001764E1" w:rsidP="0017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, Shah and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1764E1" w:rsidRDefault="001764E1" w:rsidP="0017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764E1" w:rsidRDefault="001764E1" w:rsidP="0017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1764E1" w:rsidRDefault="001764E1" w:rsidP="0017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Company – Debenture – Power to appoint receiver – Application to remove receivers – Exercise of</w:t>
      </w:r>
    </w:p>
    <w:p w:rsidR="001764E1" w:rsidRDefault="001764E1" w:rsidP="0017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power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 an oppressive manner – Whether court has power to interfere.</w:t>
      </w:r>
    </w:p>
    <w:p w:rsidR="001764E1" w:rsidRDefault="001764E1" w:rsidP="0017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Injunction – Interlocutory injunctions – Factors to be considered in determining application –</w:t>
      </w:r>
    </w:p>
    <w:p w:rsidR="001764E1" w:rsidRDefault="001764E1" w:rsidP="0017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Judicial discretion – Interference by an appellate court with lower court’s discretion – Misdirection by</w:t>
      </w:r>
    </w:p>
    <w:p w:rsidR="001764E1" w:rsidRDefault="001764E1" w:rsidP="0017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Judge in exercising his discretion – Whether the principles governing the grant of interlocutory</w:t>
      </w:r>
    </w:p>
    <w:p w:rsidR="001764E1" w:rsidRDefault="001764E1" w:rsidP="0017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injunctions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had been correctly applied.</w:t>
      </w:r>
    </w:p>
    <w:p w:rsidR="001764E1" w:rsidRDefault="001764E1" w:rsidP="0017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B95896" w:rsidRDefault="001764E1" w:rsidP="00B958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February 1997, the Appellant bank agreed to extend credit facilities in the nature of an overdraft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account and a loan account amounting to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75 million to the Respondent </w:t>
      </w:r>
      <w:proofErr w:type="gramStart"/>
      <w:r>
        <w:rPr>
          <w:rFonts w:ascii="Times New Roman" w:hAnsi="Times New Roman" w:cs="Times New Roman"/>
          <w:color w:val="000000"/>
        </w:rPr>
        <w:t>company</w:t>
      </w:r>
      <w:proofErr w:type="gramEnd"/>
      <w:r>
        <w:rPr>
          <w:rFonts w:ascii="Times New Roman" w:hAnsi="Times New Roman" w:cs="Times New Roman"/>
          <w:color w:val="000000"/>
        </w:rPr>
        <w:t>. The loans were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secured by a debenture dated 3 July 1997, charges covering several properties valued at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77 million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the material time, and personal guarantees by the company’s directors to the extent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75 million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excluding interest. One of the terms of the debenture provided that if the company was unable to pay the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loans as demanded, the bank would, by notice in writing, be able to appoint a receiver and/or a manager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property and assets of the company. In February 1998, the company required a further injection of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cash and requested a further loan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10 million. The request was granted and the aggregate amount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loan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facilities was increased to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85 million for a temporary period running until 31 July 1998. The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 later fell into arrears of repayments and, on 18 October 1999, the bank recalled both facilities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calling upon the company to pay a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88 402 412-32 by 1 November 1999. On 2 November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bank wrote to the company and informed it that two persons were being appointed to act as joint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receiver/managers of the company. On 4 November 1999 the company filed suit against the bank seeking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declaration that the appointment of the receivers was null and void and an injunction preventing the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bank from interfering with its operations. Simultaneously with the filing of the suit, the company sought,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interim orders removing the receivers from the company’s premises. The application was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granted on 25 January 2000 on the grounds that the appointment of the receivers would ground the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 and cause it irreparable damage. The bank appealed against the ruling. It was argued on its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behalf that the appointment of receivers had been necessitated by the fact that the company’s assets were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allegedly being disposed of by its directors and also that the company, having requested and obtained the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loan facilities, was obliged to accept the consequences of the contract. The bank also claimed that the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principles governing the grant of interlocutory injunctions had not been applied correctly by the Judge.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company for its part, contended that the bank had other substantial securities that it ought to have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realised</w:t>
      </w:r>
      <w:proofErr w:type="spellEnd"/>
      <w:r>
        <w:rPr>
          <w:rFonts w:ascii="Times New Roman" w:hAnsi="Times New Roman" w:cs="Times New Roman"/>
          <w:color w:val="000000"/>
        </w:rPr>
        <w:t xml:space="preserve"> instead of appointing receivers, that it had been making regular repayments of the loan and that it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only fallen into arrears as a result of the high interest rates charged by the bank.</w:t>
      </w:r>
      <w:r w:rsidR="00B95896">
        <w:rPr>
          <w:rFonts w:ascii="Times New Roman" w:hAnsi="Times New Roman" w:cs="Times New Roman"/>
          <w:color w:val="000000"/>
        </w:rPr>
        <w:t xml:space="preserve"> </w:t>
      </w:r>
    </w:p>
    <w:p w:rsidR="00B95896" w:rsidRDefault="00B95896" w:rsidP="00B958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764E1" w:rsidRDefault="001764E1" w:rsidP="00B958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 xml:space="preserve">– (Shah JA dissenting)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real issue to be determined concerned the exercise of judicial discretion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granting of temporary injunctions and whether there was sufficient material before the Judge to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justify the grant in this instance. The conditions for the grant of an interlocutory injunction were 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that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Applicant had to show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 with a probability of success, (ii) the injunction would not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normally be granted unless the Applicant stood to suffer irreparable injury or loss which could not be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adequately compensated by an award of damages, and (iii) if the court was in doubt, the application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would be decided on the balance of convenience;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Giella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Cassman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Brown </w:t>
      </w:r>
      <w:r>
        <w:rPr>
          <w:rFonts w:ascii="Times New Roman" w:hAnsi="Times New Roman" w:cs="Times New Roman"/>
          <w:color w:val="000000"/>
        </w:rPr>
        <w:t>[1973] EA 358 followed. The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 as to whether the interest was unconscionable or arbitrary was one to be dealt with at trial. An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appellate c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ourt would interfere with the lower court’s discretion only if it had not been exercised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judicially;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Mbogo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Shah </w:t>
      </w:r>
      <w:r>
        <w:rPr>
          <w:rFonts w:ascii="Times New Roman" w:hAnsi="Times New Roman" w:cs="Times New Roman"/>
          <w:color w:val="000000"/>
        </w:rPr>
        <w:t>[1968] EA 93 followed. Though a debenture holder had a right to appoint a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receiver and was under no duty </w:t>
      </w:r>
      <w:r>
        <w:rPr>
          <w:rFonts w:ascii="Times New Roman" w:hAnsi="Times New Roman" w:cs="Times New Roman"/>
          <w:color w:val="000000"/>
        </w:rPr>
        <w:lastRenderedPageBreak/>
        <w:t>to refrain from doing so if it might cause loss to the company, the court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the power to interfere if there was no basis on which the right could be exercised or if it was being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exercised oppressively;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Madhupaper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International v Kerr </w:t>
      </w:r>
      <w:r>
        <w:rPr>
          <w:rFonts w:ascii="Times New Roman" w:hAnsi="Times New Roman" w:cs="Times New Roman"/>
          <w:color w:val="000000"/>
        </w:rPr>
        <w:t xml:space="preserve">[1985] LLR 2396 (CAK)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  <w:r w:rsidR="00B9589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Housing Finance Company of Kenya </w:t>
      </w:r>
      <w:r>
        <w:rPr>
          <w:rFonts w:ascii="Times New Roman" w:hAnsi="Times New Roman" w:cs="Times New Roman"/>
          <w:color w:val="000000"/>
        </w:rPr>
        <w:t>[1987] LLR 2187 (CAK) considered. There was nothing on the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record to show that the Judge had exercised his discretion improperly or misdirected himself on the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principles to be applied. The appeal would therefore be dismissed.</w:t>
      </w:r>
      <w:r w:rsidR="00B958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1764E1" w:rsidRDefault="001764E1" w:rsidP="0017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1764E1" w:rsidRDefault="001764E1" w:rsidP="0017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1764E1" w:rsidRDefault="001764E1" w:rsidP="0017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1764E1" w:rsidRDefault="001764E1" w:rsidP="0017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1764E1" w:rsidRDefault="001764E1" w:rsidP="0017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Giella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Cassman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Brown and Co Ltd </w:t>
      </w:r>
      <w:r>
        <w:rPr>
          <w:rFonts w:ascii="Times New Roman" w:hAnsi="Times New Roman" w:cs="Times New Roman"/>
          <w:color w:val="000000"/>
        </w:rPr>
        <w:t xml:space="preserve">[1973] EA 358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1764E1" w:rsidRDefault="001764E1" w:rsidP="0017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Madhupaper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International Ltd v Paddy Kerr and others </w:t>
      </w:r>
      <w:r>
        <w:rPr>
          <w:rFonts w:ascii="Times New Roman" w:hAnsi="Times New Roman" w:cs="Times New Roman"/>
          <w:color w:val="000000"/>
        </w:rPr>
        <w:t xml:space="preserve">[1985] LLR 2396 (CAK)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1764E1" w:rsidRDefault="001764E1" w:rsidP="0017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Mbogo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Shah </w:t>
      </w:r>
      <w:r>
        <w:rPr>
          <w:rFonts w:ascii="Times New Roman" w:hAnsi="Times New Roman" w:cs="Times New Roman"/>
          <w:color w:val="000000"/>
        </w:rPr>
        <w:t xml:space="preserve">[1968] EA 93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1764E1" w:rsidRDefault="001764E1" w:rsidP="0017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Nyaga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Housing Finance Co of Kenya </w:t>
      </w:r>
      <w:r>
        <w:rPr>
          <w:rFonts w:ascii="Times New Roman" w:hAnsi="Times New Roman" w:cs="Times New Roman"/>
          <w:color w:val="000000"/>
        </w:rPr>
        <w:t xml:space="preserve">[1987] LLR 2187 (CAK)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1764E1" w:rsidRDefault="001764E1" w:rsidP="0017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Sargent v Patel </w:t>
      </w:r>
      <w:r>
        <w:rPr>
          <w:rFonts w:ascii="Times New Roman" w:hAnsi="Times New Roman" w:cs="Times New Roman"/>
          <w:color w:val="000000"/>
        </w:rPr>
        <w:t>[1949] 16 EACA 163</w:t>
      </w:r>
    </w:p>
    <w:p w:rsidR="001764E1" w:rsidRDefault="001764E1" w:rsidP="0017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1764E1" w:rsidRDefault="001764E1" w:rsidP="0017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Clarion Ltd and others v National Provident Institution </w:t>
      </w:r>
      <w:r>
        <w:rPr>
          <w:rFonts w:ascii="Times New Roman" w:hAnsi="Times New Roman" w:cs="Times New Roman"/>
          <w:color w:val="000000"/>
        </w:rPr>
        <w:t>[2000] 2 All ER 265</w:t>
      </w:r>
    </w:p>
    <w:p w:rsidR="003F18BF" w:rsidRDefault="001764E1" w:rsidP="00B95896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i/>
          <w:iCs/>
          <w:color w:val="000000"/>
        </w:rPr>
        <w:t xml:space="preserve">Cuckmere 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4E1"/>
    <w:rsid w:val="000A1D9E"/>
    <w:rsid w:val="001764E1"/>
    <w:rsid w:val="003F18BF"/>
    <w:rsid w:val="00B9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48E7-42C6-4288-8A4B-FC38D6D7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2018-07-05T11:26:00Z</dcterms:created>
  <dcterms:modified xsi:type="dcterms:W3CDTF">2018-07-12T12:00:00Z</dcterms:modified>
</cp:coreProperties>
</file>