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Gachiengo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 </w:t>
      </w:r>
      <w:r>
        <w:rPr>
          <w:rFonts w:ascii="Times New Roman" w:hAnsi="Times New Roman" w:cs="Times New Roman"/>
          <w:color w:val="000000"/>
        </w:rPr>
        <w:t>22 December 2000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302/00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Mbogholi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Mitey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Mulwa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Constitutional Law – Constitutional reference – Independence of judiciary – Consent to prosecute –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Powers of the attorney-general – Separation of powers – Whether the appointment of a Judge to a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non-judicial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post is unconstitutional – Whether the Prevention of Corruption Act deprives the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Attorney-General and Commissioner of Police of their powers under the Constitution – Whether the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existence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the Kenya Anti-Corruption Authority is contrary to the Constitution – Sections 26, 67(1), 77,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84(3) – Constitution – Sections 10, 11B – Prevention of Corruption Act (Chapter 65) – Section 101 –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Penal Code (Chapter 63).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A1886" w:rsidRDefault="007222B3" w:rsidP="008A18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two Applicants were charged before a magistrate’s court by the Kenya Anti-Corruption Authority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(“KACA”) with offences relating to the abuse of office contrary to section 101(1) of the Penal Code,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Chapter 63, </w:t>
      </w:r>
      <w:proofErr w:type="gramStart"/>
      <w:r>
        <w:rPr>
          <w:rFonts w:ascii="Times New Roman" w:hAnsi="Times New Roman" w:cs="Times New Roman"/>
          <w:color w:val="000000"/>
        </w:rPr>
        <w:t>Laws</w:t>
      </w:r>
      <w:proofErr w:type="gramEnd"/>
      <w:r>
        <w:rPr>
          <w:rFonts w:ascii="Times New Roman" w:hAnsi="Times New Roman" w:cs="Times New Roman"/>
          <w:color w:val="000000"/>
        </w:rPr>
        <w:t xml:space="preserve"> of Kenya. Consent to prosecute was obtained from the Attorney-General pursuant to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101(3) of the Penal Code. When the matter came up for hearing, various preliminary objections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touching on the Constitution were raised and counsel for the Applicants urged the trial magistrate to refer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issues to the High Court for determination. The issues framed by the trial magistrate for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were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whether it was unconstitutional for the KACA to be headed by a High Court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judge, (ii) whether such leadership of KACA would prejudice the </w:t>
      </w:r>
      <w:proofErr w:type="spellStart"/>
      <w:r>
        <w:rPr>
          <w:rFonts w:ascii="Times New Roman" w:hAnsi="Times New Roman" w:cs="Times New Roman"/>
          <w:color w:val="000000"/>
        </w:rPr>
        <w:t>accuseds</w:t>
      </w:r>
      <w:proofErr w:type="spellEnd"/>
      <w:r>
        <w:rPr>
          <w:rFonts w:ascii="Times New Roman" w:hAnsi="Times New Roman" w:cs="Times New Roman"/>
          <w:color w:val="000000"/>
        </w:rPr>
        <w:t>’ right to a fair trial, (iii)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Attorney-General’s consent to prosecute was valid and (iv) whether the establishment of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KACA was contrary to the Constitution. Among the arguments advanced by the Applicants’ counsel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that the </w:t>
      </w:r>
      <w:proofErr w:type="spellStart"/>
      <w:r>
        <w:rPr>
          <w:rFonts w:ascii="Times New Roman" w:hAnsi="Times New Roman" w:cs="Times New Roman"/>
          <w:color w:val="000000"/>
        </w:rPr>
        <w:t>accuseds</w:t>
      </w:r>
      <w:proofErr w:type="spellEnd"/>
      <w:r>
        <w:rPr>
          <w:rFonts w:ascii="Times New Roman" w:hAnsi="Times New Roman" w:cs="Times New Roman"/>
          <w:color w:val="000000"/>
        </w:rPr>
        <w:t>’ right to a fair trial would be prejudiced by the fact that KACA was headed by a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judge and that KACA did not have the power to prosecute offences outside the Prevention of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Corruption Act. They also contended that as KACA was not under the Attorney-General’s control, any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 it enjoyed would not be attributed to the Attorney-General and therefore his consent to prosecute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superficial. Counsel also contended that it was unconstitutional and contrary to the principle of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separation of powers for KACA to be headed by a High Court judge. Counsel for the Respondent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countered that the argument that judicial officers would be intimidated by the status of the parties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appearing before them was spurious and impugned the integrity of judicial officers. Counsel also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validity of the Attorney-General’s consent was not a constitutional issue but one to be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decided by the trial magistrate and that KACA as a prosecutorial body was subordinate to the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Attorney-General as it could only prosecute with his consent. On the issue of separation of powers,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argued that the duties carried out by the head of KACA in that capacity were not performed as a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but as director and, besides which, no complete separation of powers existed under the</w:t>
      </w:r>
      <w:r w:rsidR="008A18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Constitution.</w:t>
      </w:r>
    </w:p>
    <w:p w:rsidR="007222B3" w:rsidRDefault="008A1886" w:rsidP="008A18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b/>
          <w:bCs/>
          <w:color w:val="000000"/>
        </w:rPr>
        <w:t xml:space="preserve">Held </w:t>
      </w:r>
      <w:r w:rsidR="007222B3">
        <w:rPr>
          <w:rFonts w:ascii="Times New Roman" w:hAnsi="Times New Roman" w:cs="Times New Roman"/>
          <w:color w:val="000000"/>
        </w:rPr>
        <w:t>– The courts were under a duty to dispense justice to all parties appearing before them irrespective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of their status and the Applicants’ arguments and fears on this issue were misplaced.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Sections 10 and 11B of the Prevention of Corruption Act were in direct conflict with section 26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Constitution, which provided that the Attorney-General was the principal legal adviser to the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 xml:space="preserve">government. Additionally, sections 10 and </w:t>
      </w:r>
      <w:proofErr w:type="gramStart"/>
      <w:r w:rsidR="007222B3">
        <w:rPr>
          <w:rFonts w:ascii="Times New Roman" w:hAnsi="Times New Roman" w:cs="Times New Roman"/>
          <w:color w:val="000000"/>
        </w:rPr>
        <w:t>11B(</w:t>
      </w:r>
      <w:proofErr w:type="gramEnd"/>
      <w:r w:rsidR="007222B3">
        <w:rPr>
          <w:rFonts w:ascii="Times New Roman" w:hAnsi="Times New Roman" w:cs="Times New Roman"/>
          <w:color w:val="000000"/>
        </w:rPr>
        <w:t>5) curtailed the powers of the Commissioner of Police in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an unconstitutional manner. The existence of KACA thus undermined the powers conferred on both the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Attorney-General and the Commissioner of Police by the Constitution. The provisions establishing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KACA were therefore inconsistent with the Constitution and by virtue of section 3 of the Constitution,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those provisions were rendered void to the extent of that inconsistency.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The regular judicial duties of judges should not be interfered with by their appointment to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extra-judicial duties. Where a judge took up the post of the head of KACA, the Court could not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t>comprehend how he would feel bound by his judicial oath. Such an appointment would be a direct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color w:val="000000"/>
        </w:rPr>
        <w:lastRenderedPageBreak/>
        <w:t>affront to the judge’s constitutional appointment and contrary to the doctrine of separation of powers.</w:t>
      </w:r>
      <w:r>
        <w:rPr>
          <w:rFonts w:ascii="Times New Roman" w:hAnsi="Times New Roman" w:cs="Times New Roman"/>
          <w:color w:val="000000"/>
        </w:rPr>
        <w:t xml:space="preserve"> </w:t>
      </w:r>
      <w:r w:rsidR="007222B3"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Kimani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Kahara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Criminal </w:t>
      </w:r>
      <w:r>
        <w:rPr>
          <w:rFonts w:ascii="Times New Roman" w:hAnsi="Times New Roman" w:cs="Times New Roman"/>
          <w:color w:val="000000"/>
        </w:rPr>
        <w:t>(Revision) Case Number 11/83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Kiplagat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Law Society of Kenya </w:t>
      </w:r>
      <w:r>
        <w:rPr>
          <w:rFonts w:ascii="Times New Roman" w:hAnsi="Times New Roman" w:cs="Times New Roman"/>
          <w:color w:val="000000"/>
        </w:rPr>
        <w:t>[1996] LLR 860 (HCK)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Oyieng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[1988] LLR 1995 (CAK)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Shah v Patel and others </w:t>
      </w:r>
      <w:r>
        <w:rPr>
          <w:rFonts w:ascii="Times New Roman" w:hAnsi="Times New Roman" w:cs="Times New Roman"/>
          <w:color w:val="000000"/>
        </w:rPr>
        <w:t>21 EACA 236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Lesotho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Law Society of Lesotho v Prime Minister of Lesotho and another </w:t>
      </w:r>
      <w:r>
        <w:rPr>
          <w:rFonts w:ascii="Times New Roman" w:hAnsi="Times New Roman" w:cs="Times New Roman"/>
          <w:color w:val="000000"/>
        </w:rPr>
        <w:t>(1986) LRC (</w:t>
      </w:r>
      <w:proofErr w:type="spellStart"/>
      <w:r>
        <w:rPr>
          <w:rFonts w:ascii="Times New Roman" w:hAnsi="Times New Roman" w:cs="Times New Roman"/>
          <w:color w:val="000000"/>
        </w:rPr>
        <w:t>Const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7222B3" w:rsidRDefault="007222B3" w:rsidP="007222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Director of Public Prosecution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Humpreys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(1975) 2 All ER 496</w:t>
      </w:r>
    </w:p>
    <w:p w:rsidR="003F18BF" w:rsidRDefault="007222B3" w:rsidP="007222B3">
      <w:r>
        <w:rPr>
          <w:rFonts w:ascii="Times New Roman" w:hAnsi="Times New Roman" w:cs="Times New Roman"/>
          <w:i/>
          <w:iCs/>
          <w:color w:val="000000"/>
        </w:rPr>
        <w:t xml:space="preserve">Metropolitan Properties Co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Lannon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>(1968) 3 All ER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B3"/>
    <w:rsid w:val="003F18BF"/>
    <w:rsid w:val="007222B3"/>
    <w:rsid w:val="008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21E3-2878-4A3F-8B31-4242E582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2018-07-05T11:28:00Z</dcterms:created>
  <dcterms:modified xsi:type="dcterms:W3CDTF">2018-07-12T12:13:00Z</dcterms:modified>
</cp:coreProperties>
</file>