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28" w:rsidRDefault="00595828" w:rsidP="0059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Gachiengo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595828" w:rsidRDefault="00595828" w:rsidP="0059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595828" w:rsidRDefault="00595828" w:rsidP="0059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 </w:t>
      </w:r>
      <w:r>
        <w:rPr>
          <w:rFonts w:ascii="Times New Roman" w:hAnsi="Times New Roman" w:cs="Times New Roman"/>
          <w:color w:val="000000"/>
        </w:rPr>
        <w:t>22 December 2000</w:t>
      </w:r>
    </w:p>
    <w:p w:rsidR="00595828" w:rsidRDefault="00595828" w:rsidP="0059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302/00</w:t>
      </w:r>
    </w:p>
    <w:p w:rsidR="00595828" w:rsidRDefault="00595828" w:rsidP="0059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Mbogholi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Mitey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Mulwa</w:t>
      </w:r>
      <w:proofErr w:type="spellEnd"/>
      <w:r>
        <w:rPr>
          <w:rFonts w:ascii="Times New Roman" w:hAnsi="Times New Roman" w:cs="Times New Roman"/>
          <w:color w:val="000000"/>
        </w:rPr>
        <w:t xml:space="preserve"> JJ</w:t>
      </w:r>
    </w:p>
    <w:p w:rsidR="00595828" w:rsidRDefault="00595828" w:rsidP="0059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95828" w:rsidRDefault="00595828" w:rsidP="0059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595828" w:rsidRDefault="00595828" w:rsidP="0059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Constitutional Law – Constitutional reference – Independence of judiciary – Consent to prosecute –</w:t>
      </w:r>
    </w:p>
    <w:p w:rsidR="00595828" w:rsidRDefault="00595828" w:rsidP="0059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Powers of the attorney-general – Separation of powers – Whether the appointment of a Judge to a</w:t>
      </w:r>
    </w:p>
    <w:p w:rsidR="00595828" w:rsidRDefault="00595828" w:rsidP="0059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non-judicial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post is unconstitutional – Whether the Prevention of Corruption Act deprives the</w:t>
      </w:r>
    </w:p>
    <w:p w:rsidR="00595828" w:rsidRDefault="00595828" w:rsidP="0059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Attorney-General and Commissioner of Police of their powers under the Constitution – Whether the</w:t>
      </w:r>
    </w:p>
    <w:p w:rsidR="00595828" w:rsidRDefault="00595828" w:rsidP="0059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existence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the Kenya Anti-Corruption Authority is contrary to the Constitution – Sections 26, 67(1), 77,</w:t>
      </w:r>
    </w:p>
    <w:p w:rsidR="00595828" w:rsidRDefault="00595828" w:rsidP="0059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84(3) – Constitution – Sections 10, 11B – Prevention of Corruption Act (Chapter 65) – Section 101 –</w:t>
      </w:r>
    </w:p>
    <w:p w:rsidR="00595828" w:rsidRDefault="00595828" w:rsidP="0059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Penal Code (Chapter 63).</w:t>
      </w:r>
    </w:p>
    <w:p w:rsidR="00595828" w:rsidRDefault="002A0E78" w:rsidP="002A0E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595828" w:rsidRDefault="00595828" w:rsidP="002A0E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MBOGHOLI, MITEY AND MULWA JJ: </w:t>
      </w:r>
      <w:r>
        <w:rPr>
          <w:rFonts w:ascii="Times New Roman" w:hAnsi="Times New Roman" w:cs="Times New Roman"/>
          <w:color w:val="000000"/>
        </w:rPr>
        <w:t>This is a constitutional reference brought pursuant to the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section 67(1) and section 84(3) of the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 of Kenya. Stephen </w:t>
      </w:r>
      <w:proofErr w:type="spellStart"/>
      <w:r>
        <w:rPr>
          <w:rFonts w:ascii="Times New Roman" w:hAnsi="Times New Roman" w:cs="Times New Roman"/>
          <w:color w:val="000000"/>
        </w:rPr>
        <w:t>Mwai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Gachiengo</w:t>
      </w:r>
      <w:proofErr w:type="spellEnd"/>
      <w:r>
        <w:rPr>
          <w:rFonts w:ascii="Times New Roman" w:hAnsi="Times New Roman" w:cs="Times New Roman"/>
          <w:color w:val="000000"/>
        </w:rPr>
        <w:t xml:space="preserve"> (First Applicant) was charged in the Chief Magistrate’s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Nairobi with nine (9) counts of abuse of office contrary to section 101(1) of the Penal Code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Chapter 63 Laws of Kenya. Albert </w:t>
      </w:r>
      <w:proofErr w:type="spellStart"/>
      <w:r>
        <w:rPr>
          <w:rFonts w:ascii="Times New Roman" w:hAnsi="Times New Roman" w:cs="Times New Roman"/>
          <w:color w:val="000000"/>
        </w:rPr>
        <w:t>Muthee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Kahuria</w:t>
      </w:r>
      <w:proofErr w:type="spellEnd"/>
      <w:r>
        <w:rPr>
          <w:rFonts w:ascii="Times New Roman" w:hAnsi="Times New Roman" w:cs="Times New Roman"/>
          <w:color w:val="000000"/>
        </w:rPr>
        <w:t xml:space="preserve"> (Second Applicant) also faced four (4) charges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relating to the same offence of abuse of office. Before their appearance in court the Attorney-General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sanctioned the prosecution of both Applicants under section 101(3) of the Penal Code.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 matter came up for hearing before the senior resident magistrate on 29 May 2000, counsel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Applicants raised preliminary objections on points of law and, in their lengthy submissions, urged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magistrate to refer the issues raised to this Court for interpretation, insofar as the same touched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Constitution of Kenya. By a ruling delivered on 5 July 2000 the learned trial magistrate held that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questions raised are substantive and not frivolous and vexatious. She accordingly referred the same to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High Court for determination. The matter was placed before </w:t>
      </w:r>
      <w:proofErr w:type="spellStart"/>
      <w:r>
        <w:rPr>
          <w:rFonts w:ascii="Times New Roman" w:hAnsi="Times New Roman" w:cs="Times New Roman"/>
          <w:color w:val="000000"/>
        </w:rPr>
        <w:t>Oguk</w:t>
      </w:r>
      <w:proofErr w:type="spellEnd"/>
      <w:r>
        <w:rPr>
          <w:rFonts w:ascii="Times New Roman" w:hAnsi="Times New Roman" w:cs="Times New Roman"/>
          <w:color w:val="000000"/>
        </w:rPr>
        <w:t xml:space="preserve"> J who on 11 July 2000 made an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order that before the file could be placed before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Chief Justice for the necessary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directions, the file be remitted back to the trial magistrate to set out the issues upon which a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reference was being sought. In compliance with the order, the learned trial magistrate on 3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August 2000 framed four (4) issues for determination by the constitutional court. These are: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1. </w:t>
      </w:r>
      <w:proofErr w:type="gramStart"/>
      <w:r>
        <w:rPr>
          <w:rFonts w:ascii="Times New Roman" w:hAnsi="Times New Roman" w:cs="Times New Roman"/>
          <w:color w:val="000000"/>
        </w:rPr>
        <w:t>Whether</w:t>
      </w:r>
      <w:proofErr w:type="gramEnd"/>
      <w:r>
        <w:rPr>
          <w:rFonts w:ascii="Times New Roman" w:hAnsi="Times New Roman" w:cs="Times New Roman"/>
          <w:color w:val="000000"/>
        </w:rPr>
        <w:t xml:space="preserve"> it is unconstitutional and contrary to the principle of separation of powers of Kenya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Anti-corruption Authority (KACA) to be headed by a High Court Judge.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2. Whether such leadership comprises the accused’s right to a fair trial before an impartial court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section 77(1) of the Constitution.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3. Whether the Attorney-General’s consent to this prosecution is valid under the Constitution.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4. Whether the provisions establishing KACA are in conflict with the Constitution, and especially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26 thereof.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propose to deal with the second framed issue first. Counsel for the Applicants contend that the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leadership of Kenya Anti-corruption Authority (hereinafter called KACA) by a judge of this Court is an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infringement of their Constitutional rights as spelt out in section 77 of the Constitution.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Applicant submitted that there can be no fair play in a criminal trial before a magistrate as long as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KACA is the prosecuting body. He argued that KACA has an undue advantage in that regard, as the trial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will be under fear to rule against KACA as he/she will be mindful of the fact that the matter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before him/her has had an input from a High Court judge.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Khaminwa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Second Applicant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amplified this submission by stating that no magistrate will question a charge sheet that has had the input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 High Court judge. In these situations, counsel argued, an accused person will not be accorded a fair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Leading counsel for the Respondent,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Okwengu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countered the submissions by submitting that the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issues raised were spurious and impugned the independence and the integrity of judicial officers.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 to her, the argument implies that judicial officers get intimidated by the status of parties who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 before them. The courts, she continued, have an obligation to be fair to all parties that appear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them, their social standing notwithstanding. Counsel went ahead to illustrate how the arguments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Applicants became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absurd. She gave the example of the </w:t>
      </w:r>
      <w:r>
        <w:rPr>
          <w:rFonts w:ascii="Times New Roman" w:hAnsi="Times New Roman" w:cs="Times New Roman"/>
          <w:color w:val="000000"/>
        </w:rPr>
        <w:lastRenderedPageBreak/>
        <w:t xml:space="preserve">position of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Attorney-General who, in spite of sitting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Judicial Service Commission, appears in our courts as a litigant. The other example is in the case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suits being filed by or against judges of our courts. The last illustration she gave was in respect of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Kiplagat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Law Society of Kenya </w:t>
      </w:r>
      <w:r>
        <w:rPr>
          <w:rFonts w:ascii="Times New Roman" w:hAnsi="Times New Roman" w:cs="Times New Roman"/>
          <w:color w:val="000000"/>
        </w:rPr>
        <w:t>[1996] LLR 860 (HCK).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that case the applicant was an advocate of the High Court. The matter was heard by </w:t>
      </w:r>
      <w:proofErr w:type="spellStart"/>
      <w:r>
        <w:rPr>
          <w:rFonts w:ascii="Times New Roman" w:hAnsi="Times New Roman" w:cs="Times New Roman"/>
          <w:color w:val="000000"/>
        </w:rPr>
        <w:t>Aluoch</w:t>
      </w:r>
      <w:proofErr w:type="spellEnd"/>
      <w:r>
        <w:rPr>
          <w:rFonts w:ascii="Times New Roman" w:hAnsi="Times New Roman" w:cs="Times New Roman"/>
          <w:color w:val="000000"/>
        </w:rPr>
        <w:t xml:space="preserve"> J and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Commissioner of Assize Philip </w:t>
      </w:r>
      <w:proofErr w:type="spellStart"/>
      <w:r>
        <w:rPr>
          <w:rFonts w:ascii="Times New Roman" w:hAnsi="Times New Roman" w:cs="Times New Roman"/>
          <w:color w:val="000000"/>
        </w:rPr>
        <w:t>Ransley</w:t>
      </w:r>
      <w:proofErr w:type="spellEnd"/>
      <w:r>
        <w:rPr>
          <w:rFonts w:ascii="Times New Roman" w:hAnsi="Times New Roman" w:cs="Times New Roman"/>
          <w:color w:val="000000"/>
        </w:rPr>
        <w:t xml:space="preserve"> who is also a member of the Law Society of Kenya. In all the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above instances, lack of impartiality on the part of the members of the bench sitting was never raised.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Regarding the authorities cited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issues,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Okwengu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counsel for the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misinterpreted the principles set out in the authorities which largely dealt with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disqualification of a sitting judge. The authorities are: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1. </w:t>
      </w:r>
      <w:r>
        <w:rPr>
          <w:rFonts w:ascii="Times New Roman" w:hAnsi="Times New Roman" w:cs="Times New Roman"/>
          <w:i/>
          <w:iCs/>
          <w:color w:val="000000"/>
        </w:rPr>
        <w:t xml:space="preserve">Metropolitan Properties Co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Lannon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(1968) 3 All ER 304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2. </w:t>
      </w:r>
      <w:r>
        <w:rPr>
          <w:rFonts w:ascii="Times New Roman" w:hAnsi="Times New Roman" w:cs="Times New Roman"/>
          <w:i/>
          <w:iCs/>
          <w:color w:val="000000"/>
        </w:rPr>
        <w:t xml:space="preserve">The Discipline of Law </w:t>
      </w:r>
      <w:r>
        <w:rPr>
          <w:rFonts w:ascii="Times New Roman" w:hAnsi="Times New Roman" w:cs="Times New Roman"/>
          <w:color w:val="000000"/>
        </w:rPr>
        <w:t>by Lord Denning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3. </w:t>
      </w:r>
      <w:r>
        <w:rPr>
          <w:rFonts w:ascii="Times New Roman" w:hAnsi="Times New Roman" w:cs="Times New Roman"/>
          <w:i/>
          <w:iCs/>
          <w:color w:val="000000"/>
        </w:rPr>
        <w:t xml:space="preserve">Director of Public Prosecution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Humpreys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(1975) 2 All ER 496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4. </w:t>
      </w:r>
      <w:r>
        <w:rPr>
          <w:rFonts w:ascii="Times New Roman" w:hAnsi="Times New Roman" w:cs="Times New Roman"/>
          <w:i/>
          <w:iCs/>
          <w:color w:val="000000"/>
        </w:rPr>
        <w:t xml:space="preserve">Wharton’s Law Lexicon </w:t>
      </w:r>
      <w:r>
        <w:rPr>
          <w:rFonts w:ascii="Times New Roman" w:hAnsi="Times New Roman" w:cs="Times New Roman"/>
          <w:color w:val="000000"/>
        </w:rPr>
        <w:t xml:space="preserve">(4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).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ended her submissions by stating that, Justice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is performing a non-judicial function. We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given consideration to submissions by counsel on both sides in respect of this issues. We agree with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Okwengu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our courts are under a duty to dispense justice to all the parties who appear before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 irrespective of their class in society. Judicial officers take an oath to discharge their duties without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fear or favour. We accordingly find the Applicants’ arguments on the issue spurious and misplaced.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will deal with issue number three and issue number four together as the questions for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determination are intertwined. Counsel for the First Applicant submitted that the establishment of KACA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created a two-tier prosecution body – KACA and the Attorney-General – and that KACA cannot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prosecute penal code offences. Its limitations are within the Prevention of Corruption Act, Chapter 65,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Laws</w:t>
      </w:r>
      <w:proofErr w:type="gramEnd"/>
      <w:r>
        <w:rPr>
          <w:rFonts w:ascii="Times New Roman" w:hAnsi="Times New Roman" w:cs="Times New Roman"/>
          <w:color w:val="000000"/>
        </w:rPr>
        <w:t xml:space="preserve"> of Kenya (hereinafter referred to as Chapter 65). Counsel posed the question whether KACA can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prosecute in respect of offences committed prior to its inception. To illustrate that KACA cannot digress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outside Chapter 65, counsel referred us to an interview Justice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gave to the </w:t>
      </w:r>
      <w:r>
        <w:rPr>
          <w:rFonts w:ascii="Times New Roman" w:hAnsi="Times New Roman" w:cs="Times New Roman"/>
          <w:i/>
          <w:iCs/>
          <w:color w:val="000000"/>
        </w:rPr>
        <w:t>Nairobi Law Monthly</w:t>
      </w:r>
      <w:r w:rsidR="002A0E7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Magazine</w:t>
      </w:r>
      <w:r>
        <w:rPr>
          <w:rFonts w:ascii="Times New Roman" w:hAnsi="Times New Roman" w:cs="Times New Roman"/>
          <w:color w:val="000000"/>
        </w:rPr>
        <w:t>. The relevant excerpt is contained in issue number 78 of January 2000. We quote: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“Although the Act empowers KACA to investigate and prosecute other offences involving corrupt</w:t>
      </w:r>
      <w:r w:rsidR="002A0E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transactions, corrupt transactions have not been defined. Corrupt transactions involving theft, fraud,</w:t>
      </w:r>
      <w:r w:rsidR="002A0E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embezzlement, evasion of taxes of misappropriation can therefore only be dealt with under the Penal Code,</w:t>
      </w:r>
      <w:r w:rsidR="002A0E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Chapter 63,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Laws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Kenya which provides for offences relating to abuse of office, administration of justice,</w:t>
      </w:r>
      <w:r w:rsidR="002A0E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public authority and property”.</w:t>
      </w:r>
      <w:r w:rsidR="002A0E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On the contention that it is only the Attorney-General who has the constitutional mandate to prosecute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cited to us the holdings in these cases: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1. </w:t>
      </w:r>
      <w:r>
        <w:rPr>
          <w:rFonts w:ascii="Times New Roman" w:hAnsi="Times New Roman" w:cs="Times New Roman"/>
          <w:i/>
          <w:iCs/>
          <w:color w:val="000000"/>
        </w:rPr>
        <w:t xml:space="preserve">Shah v Patel and others </w:t>
      </w:r>
      <w:r>
        <w:rPr>
          <w:rFonts w:ascii="Times New Roman" w:hAnsi="Times New Roman" w:cs="Times New Roman"/>
          <w:color w:val="000000"/>
        </w:rPr>
        <w:t>21 EACA 236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2. </w:t>
      </w:r>
      <w:r>
        <w:rPr>
          <w:rFonts w:ascii="Times New Roman" w:hAnsi="Times New Roman" w:cs="Times New Roman"/>
          <w:i/>
          <w:iCs/>
          <w:color w:val="000000"/>
        </w:rPr>
        <w:t xml:space="preserve">Kimani and another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Kahara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Criminal </w:t>
      </w:r>
      <w:r>
        <w:rPr>
          <w:rFonts w:ascii="Times New Roman" w:hAnsi="Times New Roman" w:cs="Times New Roman"/>
          <w:color w:val="000000"/>
        </w:rPr>
        <w:t>(Revision) case number 11 of 1983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3.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Oyieng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[1988] LLR 1995 (CAK).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Khaminwa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it is contrary to the administration of justice for KACA to investigate and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prosecute. He said the Attorney-General does not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control KACA which is only answerable to its directors or the advisory board. The Attorney-General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comes in only for purposes of giving consent which is given as a formality. The discretion to weigh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values and interests before prosecuting has been taken away from the Attorney-General in respect of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cases handled by KACA. The success of KACA will not be attributed to the Attorney-General. In the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therefore, any consent given by the Attorney-General to KACA is superficial. Counsel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stressed that KACA is not an authority that enjoys governmental powers. Unlike the police who derive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powers from the Constitution which establishes the office of the Commissioner of Police, that is not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case with KACA.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Kangatta</w:t>
      </w:r>
      <w:proofErr w:type="spellEnd"/>
      <w:r>
        <w:rPr>
          <w:rFonts w:ascii="Times New Roman" w:hAnsi="Times New Roman" w:cs="Times New Roman"/>
          <w:color w:val="000000"/>
        </w:rPr>
        <w:t xml:space="preserve">, counsel assisting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Okwengu</w:t>
      </w:r>
      <w:proofErr w:type="spellEnd"/>
      <w:r>
        <w:rPr>
          <w:rFonts w:ascii="Times New Roman" w:hAnsi="Times New Roman" w:cs="Times New Roman"/>
          <w:color w:val="000000"/>
        </w:rPr>
        <w:t>, urged us to rule and direct that the question as to the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validity of the Attorney-General’s consent is not a constitutional matter and that it is a question falling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entirely within the jurisdiction and responsibility of the trial court. Counsel contended that there is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harmony between the provisions of Chapter 65 and those of the Constitution and that the two Acts are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mutually exclusive. KACA can only prosecute with directions of the Attorney-General and is a body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subordinate to the Attorney-General. To counsel, KACA prosecutors are public prosecutors within the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meaning given in section 2 of the Criminal Procedure Code, Chapter 75, Laws of Kenya and that their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role is complementary to that of the Attorney-General. He reiterated that the provisions of Chapter 65 are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inconsistent with the Constitution. Counsel urged us not to use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ejusdem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generis </w:t>
      </w:r>
      <w:r>
        <w:rPr>
          <w:rFonts w:ascii="Times New Roman" w:hAnsi="Times New Roman" w:cs="Times New Roman"/>
          <w:color w:val="000000"/>
        </w:rPr>
        <w:t>rule in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interpreting the provisions of section </w:t>
      </w:r>
      <w:proofErr w:type="gramStart"/>
      <w:r>
        <w:rPr>
          <w:rFonts w:ascii="Times New Roman" w:hAnsi="Times New Roman" w:cs="Times New Roman"/>
          <w:color w:val="000000"/>
        </w:rPr>
        <w:t>11B(</w:t>
      </w:r>
      <w:proofErr w:type="gramEnd"/>
      <w:r>
        <w:rPr>
          <w:rFonts w:ascii="Times New Roman" w:hAnsi="Times New Roman" w:cs="Times New Roman"/>
          <w:color w:val="000000"/>
        </w:rPr>
        <w:t>3)(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Chapter 65 but to apply the mischief rule. The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mischief that was intended to be tackled is the rampant corruption.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establishment of KACA came about by the enactment of section 11B of Chapter 65. This was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done </w:t>
      </w:r>
      <w:r>
        <w:rPr>
          <w:rFonts w:ascii="Times New Roman" w:hAnsi="Times New Roman" w:cs="Times New Roman"/>
          <w:i/>
          <w:iCs/>
          <w:color w:val="000000"/>
        </w:rPr>
        <w:t xml:space="preserve">vide </w:t>
      </w:r>
      <w:r>
        <w:rPr>
          <w:rFonts w:ascii="Times New Roman" w:hAnsi="Times New Roman" w:cs="Times New Roman"/>
          <w:color w:val="000000"/>
        </w:rPr>
        <w:t xml:space="preserve">legal notice number 10 of 1997. The functions of the Authority are set out in section </w:t>
      </w:r>
      <w:proofErr w:type="gramStart"/>
      <w:r>
        <w:rPr>
          <w:rFonts w:ascii="Times New Roman" w:hAnsi="Times New Roman" w:cs="Times New Roman"/>
          <w:color w:val="000000"/>
        </w:rPr>
        <w:t>11B(</w:t>
      </w:r>
      <w:proofErr w:type="gramEnd"/>
      <w:r>
        <w:rPr>
          <w:rFonts w:ascii="Times New Roman" w:hAnsi="Times New Roman" w:cs="Times New Roman"/>
          <w:color w:val="000000"/>
        </w:rPr>
        <w:t>3).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These are: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(a) To take necessary measures for the prevention of </w:t>
      </w:r>
      <w:r>
        <w:rPr>
          <w:rFonts w:ascii="Times New Roman" w:hAnsi="Times New Roman" w:cs="Times New Roman"/>
          <w:color w:val="000000"/>
        </w:rPr>
        <w:lastRenderedPageBreak/>
        <w:t>corruption in the public, parastatal and private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sectors;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(b) To investigate, and subject to the directions of the Attorney-General, to prosecute for offences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this Act and other offences involving corrupt transactions;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(c) To advise the government and the parastatal </w:t>
      </w:r>
      <w:proofErr w:type="spellStart"/>
      <w:r>
        <w:rPr>
          <w:rFonts w:ascii="Times New Roman" w:hAnsi="Times New Roman" w:cs="Times New Roman"/>
          <w:color w:val="000000"/>
        </w:rPr>
        <w:t>organisations</w:t>
      </w:r>
      <w:proofErr w:type="spellEnd"/>
      <w:r>
        <w:rPr>
          <w:rFonts w:ascii="Times New Roman" w:hAnsi="Times New Roman" w:cs="Times New Roman"/>
          <w:color w:val="000000"/>
        </w:rPr>
        <w:t xml:space="preserve"> on ways and means of preventing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corruption;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(d) To inquire and investigate the extent of liability of any public officer in the loss of any public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funds and to institute civil proceedings against the officer and any other person involved in the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transaction which resulted in the loss of the recovery of such loss;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(e) To investigate any conduct of a public officer which is connected with or conducive to corrupt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practices and to make suitable recommendation thereon;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(f) </w:t>
      </w:r>
      <w:proofErr w:type="spellStart"/>
      <w:r>
        <w:rPr>
          <w:rFonts w:ascii="Times New Roman" w:hAnsi="Times New Roman" w:cs="Times New Roman"/>
          <w:color w:val="000000"/>
        </w:rPr>
        <w:t>T o</w:t>
      </w:r>
      <w:proofErr w:type="spellEnd"/>
      <w:r>
        <w:rPr>
          <w:rFonts w:ascii="Times New Roman" w:hAnsi="Times New Roman" w:cs="Times New Roman"/>
          <w:color w:val="000000"/>
        </w:rPr>
        <w:t xml:space="preserve"> undertake such further or other investigations as may be directed by the Attorney-General; and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(g) To enlist members of the public fighting corruption by the use of education and outreach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programmes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section 11B was inserted into Chapter 65 the provisions of section 26 of the Constitution remained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unamended</w:t>
      </w:r>
      <w:proofErr w:type="spellEnd"/>
      <w:r>
        <w:rPr>
          <w:rFonts w:ascii="Times New Roman" w:hAnsi="Times New Roman" w:cs="Times New Roman"/>
          <w:color w:val="000000"/>
        </w:rPr>
        <w:t>. Under section 26 of the Constitution the Attorney-General is the principal legal adviser to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government of Kenya. He has powers under the Constitution to institute and undertake proceedings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any person and to take over or discontinue criminal proceedings instituted or undertaken by any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 or authority. Under section 26(4) the Attorney-General may require the Commissioner of Police to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investigate a matter as relates to any offence. Section 11B(4) of Chapter 65 stipulates that in the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performance of their functions the members of KACA shall have all the powers of a police officer of or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above the rank of assistant superintendent of police. Section </w:t>
      </w:r>
      <w:proofErr w:type="gramStart"/>
      <w:r>
        <w:rPr>
          <w:rFonts w:ascii="Times New Roman" w:hAnsi="Times New Roman" w:cs="Times New Roman"/>
          <w:color w:val="000000"/>
        </w:rPr>
        <w:t>11B(</w:t>
      </w:r>
      <w:proofErr w:type="gramEnd"/>
      <w:r>
        <w:rPr>
          <w:rFonts w:ascii="Times New Roman" w:hAnsi="Times New Roman" w:cs="Times New Roman"/>
          <w:color w:val="000000"/>
        </w:rPr>
        <w:t>5) provides that the director of KACA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assume responsibility for any investigation or prosecution commenced by the police. Section 10 of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Chapter 65 gives powers to the director of KACA to cause a police officer to investigate any bank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account, share account or purchase account of any person (underlining ours).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foregoing, it is crystal clear that section 10 and section 11B of Chapter 65 are in direct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conflict with section 26 of the Constitution. Whether or not KACA purports to act under the direction of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Attorney-General in relation to prosecution, the exercise of powers under section 11B of Chapter 65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offends the Constitution. By alienating powers conferred upon him by the Constitution the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Attorney-General was being escapist and it is a mark of abdication of responsibilities bestowed on him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Constitution. He should not have abdicated his duty to render the desired legal advice. The powers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Commissioner of Police have been curtailed by section 10 and section </w:t>
      </w:r>
      <w:proofErr w:type="gramStart"/>
      <w:r>
        <w:rPr>
          <w:rFonts w:ascii="Times New Roman" w:hAnsi="Times New Roman" w:cs="Times New Roman"/>
          <w:color w:val="000000"/>
        </w:rPr>
        <w:t>3B(</w:t>
      </w:r>
      <w:proofErr w:type="gramEnd"/>
      <w:r>
        <w:rPr>
          <w:rFonts w:ascii="Times New Roman" w:hAnsi="Times New Roman" w:cs="Times New Roman"/>
          <w:color w:val="000000"/>
        </w:rPr>
        <w:t>5) of Chapter 65. That is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unconstitutional.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provisions of section 3 of the Constitution are quite clear in that, if any other law is inconsistent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Constitution, the Constitution shall prevail and the other law shall, to the extent of the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inconsistency be void. KACA is not a department in the office of the Attorney-General. It is a body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corporate. The powers conferred on it by section </w:t>
      </w:r>
      <w:proofErr w:type="gramStart"/>
      <w:r>
        <w:rPr>
          <w:rFonts w:ascii="Times New Roman" w:hAnsi="Times New Roman" w:cs="Times New Roman"/>
          <w:color w:val="000000"/>
        </w:rPr>
        <w:t>11B(</w:t>
      </w:r>
      <w:proofErr w:type="gramEnd"/>
      <w:r>
        <w:rPr>
          <w:rFonts w:ascii="Times New Roman" w:hAnsi="Times New Roman" w:cs="Times New Roman"/>
          <w:color w:val="000000"/>
        </w:rPr>
        <w:t>1) strip it of any semblance of independence.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Acting by or against KACA cannot be in reference to the Government Proceedings Act Chapter 40 of the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Laws of Kenya. The existence of KACA undermines the powers of authority of both the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Attorney-General and the Commissioner of Police as conferred on them by the Constitution.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Consequently, we find and hold that, the provisions establishing KACA are in conflict and inconsistent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Constitution. We were not addressed as to why the amendment to section 11 of Chapter 65 was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necessary. In our view we found no deficiency in the Act that called for the amendment.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contended on behalf of the Applicants that it is both unconstitutional and contrary to the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principles of separation of powers for KACA to be headed by a High Court judge.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director of KACA,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Justice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>, has to make an election either to remain a judge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resign and head KACA. He stated that for a judge to head a corporate body is perverse to the judicial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oath and contrary to custom and tradition respecting the </w:t>
      </w:r>
      <w:proofErr w:type="spellStart"/>
      <w:r>
        <w:rPr>
          <w:rFonts w:ascii="Times New Roman" w:hAnsi="Times New Roman" w:cs="Times New Roman"/>
          <w:color w:val="000000"/>
        </w:rPr>
        <w:t>behaviour</w:t>
      </w:r>
      <w:proofErr w:type="spellEnd"/>
      <w:r>
        <w:rPr>
          <w:rFonts w:ascii="Times New Roman" w:hAnsi="Times New Roman" w:cs="Times New Roman"/>
          <w:color w:val="000000"/>
        </w:rPr>
        <w:t xml:space="preserve"> of judges. It would be repugnant to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 and morality, added counsel. The contentious section relating to the establishment of KACA is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11B(1) of Chapter 65 which reads as follows: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“There is established an Authority to be known as ‘the Kenya Anti-Corruption Authority’ (hereinafter referred</w:t>
      </w:r>
      <w:r w:rsidR="002A0E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as ‘the Authority’) which shall be a body corporate with perpetual succession and a common seal, with</w:t>
      </w:r>
      <w:r w:rsidR="002A0E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power, in its corporate name, to:</w:t>
      </w:r>
      <w:r w:rsidR="002A0E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sue and be sued;</w:t>
      </w:r>
      <w:r w:rsidR="002A0E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take, purchase or otherwise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acquire,hold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charge 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disposeof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both movable and immovable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propety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="002A0E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borrow or lend money;</w:t>
      </w:r>
      <w:r w:rsidR="002A0E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enter into contracts; and</w:t>
      </w:r>
      <w:r w:rsidR="002A0E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do or perform all such things or acts necessary for the proper performance of its functions under this</w:t>
      </w:r>
      <w:r w:rsidR="002A0E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 which may be lawfully done by a body corporate”.</w:t>
      </w:r>
      <w:r w:rsidR="002A0E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Khaminwa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it is both unconstitutional and irregular for a High Court judge to perform duties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he was not sworn to perform.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Okwengu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argued that whatever duties Justice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is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carrying out are done in his capacity as the director of KACA and not as a judge. She stated that there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exists no complete separation of powers in the </w:t>
      </w:r>
      <w:r>
        <w:rPr>
          <w:rFonts w:ascii="Times New Roman" w:hAnsi="Times New Roman" w:cs="Times New Roman"/>
          <w:color w:val="000000"/>
        </w:rPr>
        <w:lastRenderedPageBreak/>
        <w:t>organs of government and that the Constitution is clear on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that. She gave the example of the Attorney-General who sits in the Judicial Service Commission, in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and in the cabinet. She sought to distinguish the facts of this case with those in the case of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Law Society of Lesotho v Prime Minister of Lesotho and another </w:t>
      </w:r>
      <w:r>
        <w:rPr>
          <w:rFonts w:ascii="Times New Roman" w:hAnsi="Times New Roman" w:cs="Times New Roman"/>
          <w:color w:val="000000"/>
        </w:rPr>
        <w:t>(1986) LRC (</w:t>
      </w:r>
      <w:proofErr w:type="spellStart"/>
      <w:r>
        <w:rPr>
          <w:rFonts w:ascii="Times New Roman" w:hAnsi="Times New Roman" w:cs="Times New Roman"/>
          <w:color w:val="000000"/>
        </w:rPr>
        <w:t>Const</w:t>
      </w:r>
      <w:proofErr w:type="spellEnd"/>
      <w:r>
        <w:rPr>
          <w:rFonts w:ascii="Times New Roman" w:hAnsi="Times New Roman" w:cs="Times New Roman"/>
          <w:color w:val="000000"/>
        </w:rPr>
        <w:t>).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</w:t>
      </w:r>
      <w:r>
        <w:rPr>
          <w:rFonts w:ascii="Times New Roman" w:hAnsi="Times New Roman" w:cs="Times New Roman"/>
          <w:i/>
          <w:iCs/>
          <w:color w:val="000000"/>
        </w:rPr>
        <w:t xml:space="preserve">Lesotho </w:t>
      </w:r>
      <w:r>
        <w:rPr>
          <w:rFonts w:ascii="Times New Roman" w:hAnsi="Times New Roman" w:cs="Times New Roman"/>
          <w:color w:val="000000"/>
        </w:rPr>
        <w:t>case a non-judicial officer was appointed to perform judicial duties. The officer who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 member of staff of the director of public prosecution was appointed as an acting judge. The Court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Appeal of Lesotho held that the appointment was in contravention of the state’s duty under the Human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Rights Act to guarantee the independence of the courts.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Okwengu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gave instances where judges in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country have been appointed to head commissions of inquiry, the Law Reform Commission and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they have been appointed to perform non-judicial functions. She gave the examples of Uganda,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South Africa and Australia where judges have been appointed to perform such functions. She submitted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country should not be denied the use of such talents.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doctrine of separation of powers is an old one. To be attained, the role of each arm of government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to be clearly defined. The judiciary should not be subject to the dictates of either the executive of the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legislature. In the book </w:t>
      </w:r>
      <w:r>
        <w:rPr>
          <w:rFonts w:ascii="Times New Roman" w:hAnsi="Times New Roman" w:cs="Times New Roman"/>
          <w:i/>
          <w:iCs/>
          <w:color w:val="000000"/>
        </w:rPr>
        <w:t xml:space="preserve">Wade on Constitutional Laws </w:t>
      </w:r>
      <w:r>
        <w:rPr>
          <w:rFonts w:ascii="Times New Roman" w:hAnsi="Times New Roman" w:cs="Times New Roman"/>
          <w:color w:val="000000"/>
        </w:rPr>
        <w:t xml:space="preserve">(6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) the writer maintains that in the field of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independence of the judiciary, separation of powers is strictly observed. In Volume 2 of the report of the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Royal Commission of Inquiry into Civil Rights – Ontario it was recommended that the regular judicial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duties of judges should not be interfered with by their appointment to extra judicial duties. With respect,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agree.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taking up an appointment as a judge, one takes an oath in which he/she swears to discharge the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duties of a judge without fear or favour. In the position as head of KACA and in view of the duties one is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expected to perform, we fail to comprehend how a High Court judge will feel bound by the judicial oath.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were asked to hold that as the appointment of Justice Mathew Guy </w:t>
      </w:r>
      <w:proofErr w:type="spellStart"/>
      <w:r>
        <w:rPr>
          <w:rFonts w:ascii="Times New Roman" w:hAnsi="Times New Roman" w:cs="Times New Roman"/>
          <w:color w:val="000000"/>
        </w:rPr>
        <w:t>Muli</w:t>
      </w:r>
      <w:proofErr w:type="spellEnd"/>
      <w:r>
        <w:rPr>
          <w:rFonts w:ascii="Times New Roman" w:hAnsi="Times New Roman" w:cs="Times New Roman"/>
          <w:color w:val="000000"/>
        </w:rPr>
        <w:t xml:space="preserve"> as Attorney-General and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Justice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as Solicitor-General were not questioned, then the appointment of Justice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as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 of KACA should not be questioned, notwithstanding the fact that he is still a judge of this Court.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our view, the said appointments contravened the principle of separation of powers and the fact that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were not challenged is no panacea for the irregularity of the appointments.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only person who can be appointed as Commissioner to the Law Reform Commission pursuant to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provisions of section 2 of the Law Reform Commission Act, Chapter 3 of the Laws of Kenya is one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holds the office of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judge of the High Court or Court of Appeal or by experience as an advocate or as a teacher of law in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university. A commission of inquiry under the Commissioner of Inquiry Act, Chapter 102 of the Laws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Kenya shall be deemed to be a judicial proceedings for the purposes of Chapter XI and Chapter XVIII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Penal Code. Chapter XI of the Penal Code relates to offences relating to the administration of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 while Chapter XVIII relates to defamation. Judicial proceedings can only be presided over by a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judicial officer.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that respect, a commission of inquiry may only be headed by one knowledgeable in law. The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practice in Kenya has been that such commissions of inquiry are headed by judges of the High Court and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Appeal. The appointments have been made on a limited mandate and a specified time.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Judges appointed to these bodies remain answerable to the head of the judiciary. It is the converse in the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of the leadership of KACA.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Reference was made by the leading counsel for the Respondent to Uganda, South Africa and Australia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advance the argument that judges have been appointed to head bodies that carry out similar functions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KACA. The terms and conditions of those appointments and the legislation pursuant to which the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appointments were made, were not made available to us. Counsel’s arguments, therefore, became mere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statements from the bar.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judge occupies an enviable position in society. He is enveloped by an aura of dignity. He is always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a pedestal. That position has to be jealously guarded. The temptation to disregard tradition cannot be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allowed to take root in our judicial system. With the greatest respect therefore, we are of the view that for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judge to head KACA is a step in the reverse and is a direct affront to his constitutional appointment.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end result of the foregoing is that, we uphold the submissions that the provisions in Chapter 65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establishing KACA are unconstitutional and in conflict with the spirit and provisions of the Constitution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especially section 26 thereof. It is also unconstitutional and contrary to the principle of separation of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powers for KACA to be headed by a High Court judge; and finally that the sanction by the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Attorney-General to this prosecution is not valid under the Constitution.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bear in mind the provisions of section 26 of the Constitution but we are not a trial court, neither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 we purport to exercise the powers of the Attorney-General under section 26 of the Constitution. It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now behooves the Attorney-General to exercise his powers and mandate under section </w:t>
      </w:r>
      <w:r>
        <w:rPr>
          <w:rFonts w:ascii="Times New Roman" w:hAnsi="Times New Roman" w:cs="Times New Roman"/>
          <w:color w:val="000000"/>
        </w:rPr>
        <w:lastRenderedPageBreak/>
        <w:t>26 of the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and take whatever steps he may deem necessary to ensure that the ends of justice are met not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in the case where the applicants are the accused but in all other cases instituted by KACA in the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magistrates’ courts.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wish to commend each of the counsel who appeared before us in this matter. They gallantly put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forward their respective clients’ cases. We are indebted to them by their able contributions.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First Applicant:</w:t>
      </w:r>
      <w:r w:rsidR="002A0E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 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</w:t>
      </w:r>
    </w:p>
    <w:p w:rsidR="00595828" w:rsidRDefault="00595828" w:rsidP="0059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Second Applicant:</w:t>
      </w:r>
    </w:p>
    <w:p w:rsidR="00595828" w:rsidRDefault="00595828" w:rsidP="0059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Dr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Khaminwa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Khaminwa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Khaminwa</w:t>
      </w:r>
      <w:proofErr w:type="spellEnd"/>
    </w:p>
    <w:p w:rsidR="00595828" w:rsidRDefault="00595828" w:rsidP="0059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595828" w:rsidRDefault="00595828" w:rsidP="0059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 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Okwengu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 xml:space="preserve">L 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Kangatta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the </w:t>
      </w:r>
      <w:r>
        <w:rPr>
          <w:rFonts w:ascii="Times New Roman" w:hAnsi="Times New Roman" w:cs="Times New Roman"/>
          <w:i/>
          <w:iCs/>
          <w:color w:val="000000"/>
        </w:rPr>
        <w:t xml:space="preserve">Kenya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Anti Corruption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Authority</w:t>
      </w:r>
    </w:p>
    <w:p w:rsidR="003F18BF" w:rsidRDefault="003F18BF"/>
    <w:sectPr w:rsidR="003F18BF" w:rsidSect="00CC75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28"/>
    <w:rsid w:val="002A0E78"/>
    <w:rsid w:val="003F18BF"/>
    <w:rsid w:val="0059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9DD43-8CB0-49CA-B9A0-86258766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3175</Words>
  <Characters>18100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2018-07-05T11:30:00Z</dcterms:created>
  <dcterms:modified xsi:type="dcterms:W3CDTF">2018-07-12T12:15:00Z</dcterms:modified>
</cp:coreProperties>
</file>