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Galaxy Paints Co Ltd v Falcon Guards Ltd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April 2000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219/98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Trial – Pleadings – Issues for determination – Whether a court could pronounce judgment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issues not pleaded or framed for its determination – Whether the Appellant could rely on an issue that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had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not been pleaded at trial – Orders XIV and XX – Civil Procedure Rules.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67BB4" w:rsidRDefault="00667BB4" w:rsidP="00667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Sometime</w:t>
      </w:r>
      <w:r w:rsidR="00FC6874">
        <w:rPr>
          <w:rFonts w:ascii="Times New Roman" w:hAnsi="Times New Roman" w:cs="Times New Roman"/>
          <w:color w:val="000000"/>
        </w:rPr>
        <w:t xml:space="preserve"> in 1982, the Appellant engaged the Respondent to provide one day and one night guard for its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factory in the industrial area of Nairobi. Though no written contract was executed, a document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containing the standard conditions on which the guards were provided was delivered to the Appellant for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signature. The Appellant never signed the document nor did it object to any of its terms. The document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 xml:space="preserve">contained an exemption clause that provided, </w:t>
      </w:r>
      <w:r w:rsidR="00FC6874">
        <w:rPr>
          <w:rFonts w:ascii="Times New Roman" w:hAnsi="Times New Roman" w:cs="Times New Roman"/>
          <w:i/>
          <w:iCs/>
          <w:color w:val="000000"/>
        </w:rPr>
        <w:t>inter alia</w:t>
      </w:r>
      <w:r w:rsidR="00FC6874">
        <w:rPr>
          <w:rFonts w:ascii="Times New Roman" w:hAnsi="Times New Roman" w:cs="Times New Roman"/>
          <w:color w:val="000000"/>
        </w:rPr>
        <w:t>, that the company would not be responsible to the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client under any circumstances for any deliberate wrongful act committed by an employee in or with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reference to the services provided. On the night of 27 or 28 August 1984, 45 drums of assorted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chemicals, each weighing 200 kilograms, were stolen from the Appellant’s premises. The guard on duty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failed to either raise any alarm or do anything to prevent the burglary and theft and it was not until the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morning of 28 August that the Appellant’s employees discovered the theft. The Appellant sued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 xml:space="preserve">Respondent claiming </w:t>
      </w:r>
      <w:proofErr w:type="spellStart"/>
      <w:r w:rsidR="00FC6874">
        <w:rPr>
          <w:rFonts w:ascii="Times New Roman" w:hAnsi="Times New Roman" w:cs="Times New Roman"/>
          <w:color w:val="000000"/>
        </w:rPr>
        <w:t>KShs</w:t>
      </w:r>
      <w:proofErr w:type="spellEnd"/>
      <w:r w:rsidR="00FC6874">
        <w:rPr>
          <w:rFonts w:ascii="Times New Roman" w:hAnsi="Times New Roman" w:cs="Times New Roman"/>
          <w:color w:val="000000"/>
        </w:rPr>
        <w:t xml:space="preserve"> 219 975, being the value of the stolen drums, on the grounds that the theft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occurred due to the negligence of the Respondent’s guard.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The trial Judge found as fact that the relationship between the parties was governed by the document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delivered to the Appellant and that a theft had indeed occurred. He also found that the Respondent’s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guard must have participated in the theft either passively or actively and that, as a result, the Respondent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was not liable due to the exemption clause in its standard conditions of contract.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On appeal, counsel for the Appellant submitted that the trial Judge erred in finding that the guard must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have participated in the theft and surmised that the guard must have been absent when the theft took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place. The Respondent argued that the Appellant’s case as pleaded and presented to court was based on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the guard’s negligence not on his absence from the factory, that the case had been correctly heard and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decided on that basis and that consequently, the trial Judge could in no way be faulted for his</w:t>
      </w:r>
      <w:r>
        <w:rPr>
          <w:rFonts w:ascii="Times New Roman" w:hAnsi="Times New Roman" w:cs="Times New Roman"/>
          <w:color w:val="000000"/>
        </w:rPr>
        <w:t xml:space="preserve"> </w:t>
      </w:r>
      <w:r w:rsidR="00FC6874">
        <w:rPr>
          <w:rFonts w:ascii="Times New Roman" w:hAnsi="Times New Roman" w:cs="Times New Roman"/>
          <w:color w:val="000000"/>
        </w:rPr>
        <w:t>conclusions.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67BB4" w:rsidRDefault="00667BB4" w:rsidP="00667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C6874" w:rsidRDefault="00FC6874" w:rsidP="00667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issues for determination in a suit generally flowed from the pleadings and a trial court could</w:t>
      </w:r>
      <w:r w:rsidR="00667B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pronounce judgment on the issues arising from the pleadings or such issues as the parties framed for</w:t>
      </w:r>
      <w:r w:rsidR="00667B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court’s determination. Unless pleadings were amended, parties were confined to their pleadings;</w:t>
      </w:r>
      <w:r w:rsidR="00667B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Gandy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Caspair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[1956] EACA 139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Fernandes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People Newspapers Ltd </w:t>
      </w:r>
      <w:r>
        <w:rPr>
          <w:rFonts w:ascii="Times New Roman" w:hAnsi="Times New Roman" w:cs="Times New Roman"/>
          <w:color w:val="000000"/>
        </w:rPr>
        <w:t>[1972] EA 63 considered.</w:t>
      </w:r>
      <w:r w:rsidR="00667B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the possibility of the Respondent’s guard being</w:t>
      </w:r>
      <w:r w:rsidR="00667B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absent on the material night not having been included in the agreed issues, it was not open to the trial</w:t>
      </w:r>
      <w:r w:rsidR="00667B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to consider that issue. The judge had considered and dealt with all the issues agreed on by the</w:t>
      </w:r>
      <w:r w:rsidR="00667B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and there was no basis upon which to interfere with his decision.</w:t>
      </w:r>
      <w:r w:rsidR="00667B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FC6874" w:rsidRDefault="00FC6874" w:rsidP="00FC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F18BF" w:rsidRDefault="00FC6874" w:rsidP="00FC6874">
      <w:proofErr w:type="spellStart"/>
      <w:r>
        <w:rPr>
          <w:rFonts w:ascii="Times New Roman" w:hAnsi="Times New Roman" w:cs="Times New Roman"/>
          <w:i/>
          <w:iCs/>
          <w:color w:val="000000"/>
        </w:rPr>
        <w:t>Fernandes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People Newspapers Ltd </w:t>
      </w:r>
      <w:r>
        <w:rPr>
          <w:rFonts w:ascii="Times New Roman" w:hAnsi="Times New Roman" w:cs="Times New Roman"/>
          <w:color w:val="000000"/>
        </w:rPr>
        <w:t>[1972] EA 63 –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74"/>
    <w:rsid w:val="003F18BF"/>
    <w:rsid w:val="00667BB4"/>
    <w:rsid w:val="00F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448FB-F5D5-41E4-946B-4AC478AF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2018-07-05T10:20:00Z</dcterms:created>
  <dcterms:modified xsi:type="dcterms:W3CDTF">2018-07-12T12:15:00Z</dcterms:modified>
</cp:coreProperties>
</file>