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70" w:rsidRDefault="00A02670" w:rsidP="00A0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Gathenya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Muheria</w:t>
      </w:r>
      <w:proofErr w:type="spellEnd"/>
    </w:p>
    <w:p w:rsidR="00A02670" w:rsidRDefault="00A02670" w:rsidP="00A0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A02670" w:rsidRDefault="00A02670" w:rsidP="00A0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March 2005</w:t>
      </w:r>
    </w:p>
    <w:p w:rsidR="00A02670" w:rsidRDefault="00A02670" w:rsidP="00A0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343/04</w:t>
      </w:r>
    </w:p>
    <w:p w:rsidR="00A02670" w:rsidRDefault="00A02670" w:rsidP="00A0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A02670" w:rsidRDefault="00A02670" w:rsidP="00A0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02670" w:rsidRDefault="00A02670" w:rsidP="00A0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 – Change of advocate at the Court of Appeal – Notice of change of advocates must be filed</w:t>
      </w:r>
    </w:p>
    <w:p w:rsidR="00A02670" w:rsidRDefault="00A02670" w:rsidP="00A0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with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registrar.</w:t>
      </w:r>
    </w:p>
    <w:p w:rsidR="00A02670" w:rsidRDefault="008C2B99" w:rsidP="008C2B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A02670" w:rsidRDefault="00A02670" w:rsidP="008C2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Deverell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AJA: </w:t>
      </w:r>
      <w:r>
        <w:rPr>
          <w:rFonts w:ascii="Times New Roman" w:hAnsi="Times New Roman" w:cs="Times New Roman"/>
          <w:color w:val="000000"/>
        </w:rPr>
        <w:t>I have considered the submissions put to me by counsel for the intended appellant,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and the respondent to the application on the issue of representation.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issue raised is whether the firm of </w:t>
      </w:r>
      <w:proofErr w:type="spellStart"/>
      <w:r>
        <w:rPr>
          <w:rFonts w:ascii="Times New Roman" w:hAnsi="Times New Roman" w:cs="Times New Roman"/>
          <w:color w:val="000000"/>
        </w:rPr>
        <w:t>Wangai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Nyuthe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is properly on record before this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represent the intended appellant.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counsel for the intended appellant claim to be properly on record by virtue of the alleged fact that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are properly on record in the High Court. In support of that assertion they rely on the consent letter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16 December 2004 filed on 24 January 2005 signed by the undisputed original advocates for the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defendants Mohamed </w:t>
      </w:r>
      <w:proofErr w:type="spellStart"/>
      <w:r>
        <w:rPr>
          <w:rFonts w:ascii="Times New Roman" w:hAnsi="Times New Roman" w:cs="Times New Roman"/>
          <w:color w:val="000000"/>
        </w:rPr>
        <w:t>Muigai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Mboya</w:t>
      </w:r>
      <w:proofErr w:type="spellEnd"/>
      <w:r>
        <w:rPr>
          <w:rFonts w:ascii="Times New Roman" w:hAnsi="Times New Roman" w:cs="Times New Roman"/>
          <w:color w:val="000000"/>
        </w:rPr>
        <w:t xml:space="preserve"> Advocates (hereinafter the original advocates) and signed by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Nyuthe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(hereinafter the new advocates).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contended that this consent letter became an order of the High Court by some process of </w:t>
      </w:r>
      <w:proofErr w:type="spellStart"/>
      <w:r>
        <w:rPr>
          <w:rFonts w:ascii="Times New Roman" w:hAnsi="Times New Roman" w:cs="Times New Roman"/>
          <w:color w:val="000000"/>
        </w:rPr>
        <w:t>minuting</w:t>
      </w:r>
      <w:proofErr w:type="spellEnd"/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High Court as to which no evidence has been produced before me.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consider the evidence sufficient to establish that there was an Order of the High Court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recognising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change of advocates in the High Court sufficient to comply with Order III, rule 9(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Civil Procedure Rules.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even if the position had been so established in the High Court I do not consider that the new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would without move have come properly as record in this Court.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notice of appeal was signed by the original advocates as advocates for the intended appellants.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They, thus, came on record in this Court.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23(1) of the rules of the Court of Appeal clearly stipulates that where a party (in this case the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appellant) having been represented by an advocate (in this case the original advocates by virtue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notice of appeal) decides to change his advocate he shall, as soon as possible, lodge with the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a notice of change. No such notice of change has been lodged.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these circumstances, I find that the new advocates are in breach of the rules of this Court and are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entitled at the moment to represent the intended appellant in applying for and conducting an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extension of time for filing the record and memorandum of appeal out of time.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I, therefore, allow the respondents preliminary objection.</w:t>
      </w:r>
      <w:r w:rsidR="008C2B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A02670" w:rsidRDefault="00A02670" w:rsidP="00A0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A02670" w:rsidRDefault="00A02670" w:rsidP="00A0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80578A" w:rsidRDefault="00A02670" w:rsidP="00A02670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70"/>
    <w:rsid w:val="0080578A"/>
    <w:rsid w:val="008C2B99"/>
    <w:rsid w:val="00A0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45AF0-0083-42A2-A7DC-AA363E2C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2018-07-04T18:58:00Z</dcterms:created>
  <dcterms:modified xsi:type="dcterms:W3CDTF">2018-07-12T12:18:00Z</dcterms:modified>
</cp:coreProperties>
</file>