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General Parts (U) Limited and another v Non-Performing Assets Recovery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Trust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March 2006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9/05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Katubeve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Record of Appeal – Contents of the record of appeal – Procedure to be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determining documents to be included in record – Whether the appellants had breached the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procedures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Rules 82 and 93 – Supreme Court Rules.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Institution of suits – Conduct of proceedings before Tribunal – Mode of institution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suit – Whether a Notice of Motion a proper mode of instituting a suit before the Tribunal – Whether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Tribunal had discretionary power to modify the Civil Procedure Rules – Whether institution of the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suit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occasioned a miscarriage of justice – NPART Act – Sections 14(3) and 18 – Order 34, rule 3A –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Rules.</w:t>
      </w:r>
    </w:p>
    <w:p w:rsidR="00A13C38" w:rsidRDefault="002C17F4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13C38">
        <w:rPr>
          <w:rFonts w:ascii="Times New Roman" w:hAnsi="Times New Roman" w:cs="Times New Roman"/>
          <w:i/>
          <w:iCs/>
          <w:color w:val="000000"/>
        </w:rPr>
        <w:t xml:space="preserve">[3] Civil procedure – </w:t>
      </w:r>
      <w:r w:rsidR="00A13C38">
        <w:rPr>
          <w:rFonts w:ascii="Times New Roman" w:hAnsi="Times New Roman" w:cs="Times New Roman"/>
          <w:color w:val="000000"/>
        </w:rPr>
        <w:t xml:space="preserve">Res judicata </w:t>
      </w:r>
      <w:r w:rsidR="00A13C38">
        <w:rPr>
          <w:rFonts w:ascii="Times New Roman" w:hAnsi="Times New Roman" w:cs="Times New Roman"/>
          <w:i/>
          <w:iCs/>
          <w:color w:val="000000"/>
        </w:rPr>
        <w:t>– Parties to suits in question – Issues to be determined in suits in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question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 current suit was </w:t>
      </w:r>
      <w:r>
        <w:rPr>
          <w:rFonts w:ascii="Times New Roman" w:hAnsi="Times New Roman" w:cs="Times New Roman"/>
          <w:color w:val="000000"/>
        </w:rPr>
        <w:t xml:space="preserve">res judicata </w:t>
      </w:r>
      <w:r>
        <w:rPr>
          <w:rFonts w:ascii="Times New Roman" w:hAnsi="Times New Roman" w:cs="Times New Roman"/>
          <w:i/>
          <w:iCs/>
          <w:color w:val="000000"/>
        </w:rPr>
        <w:t>– Sections 6 and 7 – Civil Procedure Act.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Land Law – Equitable Mortgages – Creation of equitable mortgages by deposit of title – Intention to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create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security – Whether valid equitable mortgages in suit properties had been created – Section129 –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Registration of Titles Act.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[5] Limitation of actions – Suit for foreclosure – Limitation period – Burden of proof – Whether the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appellants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proved that the suit was time-barred – Sections 5 and 18(4) – Limitation Act.</w:t>
      </w:r>
    </w:p>
    <w:p w:rsidR="00A13C38" w:rsidRDefault="002C17F4" w:rsidP="002C17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C17F4" w:rsidRDefault="00A13C38" w:rsidP="002C1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This appeal originates from a suit instituted in the Non-performing Assets Recovery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Tribunal, hereinafter referred to as “the Tribunal”, by the above named respondent. The respondent sued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an assignee of a non performing asset in form of a debt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2 288 821 473 that the first appellant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above-named owed to Uganda Commercial Bank, hereinafter referred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“UCB”. It claimed that the debt was secured by,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equitable mortgages over the appellants’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plots of land hereinafter collectively referred to as “the mortgaged property”, and moved the Tribunal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orders against the appellants as mortgagees: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To foreclose their right to redeem;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To sell the mortgaged property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debt.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granted the orders. The appellants’ appeal to the Court of Appeal was dismissed. Hence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second appeal.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background facts are not in dispute. In the late 1980’s the first appellant maintained a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account with UCB on which it had overdraft facilities secured by a floating debenture over its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assets. In 1991 it agreed with UCB to convert part of the outstanding balance on the overdraft into a short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 loan and to reschedule its repayment on condition that it provided, as further security, a legal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mortgaged property. Only some of the property belongs to the first appellant, but most of the land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belongs to the second appellant, who is Managing Director of the first appellant. The title certificates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mortgaged property were accordingly surrendered to UCB The first appellant and UCB executed a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instrument, which was then registered in the land registry and entered on the titles as a legal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mortgage. Subsequently, however, in a litigation that started earlier, to which I will refer presently, this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observed that the mortgage was not enforceable as a legal mortgage.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should mention at this stage that prior to the application that is the subject of this appeal, two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unsuccessful attempts to recover the debt led to two distinct litigations, which feature in this appeal so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prominently, that I have to briefly describe them first. The first attempt was initiated by UCB on 21 July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1992, when, upon the first appellant’s default, it appointed a Receiver/Manager, to take possession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appellant’s assets and recover therefrom, and if necessary from the sale of the mortgaged property,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outstanding debt. The appellants, however, prevented the Receiver/Manager from taking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possession. That prompted UCB to sue the first appellant in High Court civil suit number 386 of 1993,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declaration that the Receiver/Manager was properly appointed and should execute the mandate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recover the debt by the sale of the assets and the mortgaged </w:t>
      </w:r>
      <w:r>
        <w:rPr>
          <w:rFonts w:ascii="Times New Roman" w:hAnsi="Times New Roman" w:cs="Times New Roman"/>
          <w:color w:val="000000"/>
        </w:rPr>
        <w:lastRenderedPageBreak/>
        <w:t>property. Later, after being assigned the debt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“a non-performing asset” the respondent joined in the suit as co-plaintiff. In the ensuing appeals,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it was the sole respondent. The suit was ultimately concluded in civil appeal number 5 of 1999,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which this Court held, on 2 March 2000, that the appointment of the Receiver/Manager was improper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did not conform to the terms of the debenture. In the same judgment (as modified on review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ruling dated 18 October 2000), this Court observed that the mortgage instrument was not proved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validly executed. Thus the first attempt to recover the debt failed.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Judgment of this Court, the respondent made a second attempt when, through agents, it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advertised the mortgaged property for sale. That precipitated High Court civil suit number 1470 of 2000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whereby the appellants sued the Trust Administrator, an employee of the respondent, jointly with the two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 agents. The appellants claimed that the attempt to sell the mortgaged property was illegal and in bad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faith. On 28 October 2000,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 xml:space="preserve"> J entered judgment for the appellants holding that as the sale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authorised by a legal mortgage, the instruction of the first defendant to the co-defendants to sell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property was improper. The Trust Administrator appealed to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in civil appeal number 29 of 2003, but withdrew it five years later, on 18 May 2005.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attempt thus came to naught. Meanwhile, the respondent had initiated the third attempt on 25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2003 when it applied to the Tribunal for foreclosure. The Tribunal heard the application and as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already stated, granted it on 12 February 2004.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appealed to the Court of Appeal against the Tribunal’s decision, in civil appeal number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49 of 2004. For a considerable time, both civil appeal number 49 of 2004 (the subject matter of this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appeal) and civil appeal number 29 of 2003 (the Trust Administrator’s appeal) were pending together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Appeal, until 18 May 2005 when the latter was withdrawn. The former was dismissed three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later on 19 August. During all the time the two appeals were pending in the same court, neither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nor any party to either appeal sought to relate the two appeals either for consolidation or stay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pending disposal of the other. Be that as it may, the main contention in this appeal is the concurrent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 by the Tribunal and the Court of Appeal that the respondent is entitled to an order of foreclosure.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ask this Court to reverse that holding.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on both sides submitted written arguments under rule 93 of the Rules of this Court. In their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Byenkya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Company Advocates, acting for the respondent, raised a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issue concerning the contents of the record of appeal. They contend that the inclusion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parts of the record contravenes rule 82 of the Rules and that those parts ought to be expunged 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disregarded. I am constrained to comment first on the timing of raising the issue. In my opinion, it ought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been taken out prior to the hearing of the appeal. This is implicit in rule 82, which prescribes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subrules</w:t>
      </w:r>
      <w:proofErr w:type="spellEnd"/>
      <w:r>
        <w:rPr>
          <w:rFonts w:ascii="Times New Roman" w:hAnsi="Times New Roman" w:cs="Times New Roman"/>
          <w:color w:val="000000"/>
        </w:rPr>
        <w:t xml:space="preserve"> (1) and (2) the content of the record of appeal; and provides in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(3), for the Court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to make directions on inclusion or exclusion of any document.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(3) of rule 82 reads: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judge or a registrar of the Court of Appeal may, on the application of any party, or of their own motion,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 which documents or parts of documents should be included or excluded from the record; and an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for the direction may be made informally.”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Clearly, the primary purpose of this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is to provide a mechanism for ensuring that the record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contains only what is permissible and necessary for determination of the appeal. The appellant may,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doubt, seek guidance by way of directions under the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>. Equally, a respondent served with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of appeal that includes any documents whose inclusion he/she objects to, may similarly seek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directions under the same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>, for exclusion of that document. Adherence to that procedure ensures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Court proceeds to hear an appeal based on a record that is devoid of or unclogged by irrelevant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immaterial documents. In their submission the respondent’s counsel appear to lament that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was raised at the late stage because the parties resorted to written submissions. In my view,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irrespective of whether the appeal is to be argued orally or in writing, where the issue is not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settled under rule 82 as aforesaid, it is more appropriate to raise it separately rather than along with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issues of the appeal. Be that as it may, the objection is sufficiently substantial to warrant my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before turning to the grounds of appeal.</w:t>
      </w:r>
      <w:r w:rsidR="002C17F4">
        <w:rPr>
          <w:rFonts w:ascii="Times New Roman" w:hAnsi="Times New Roman" w:cs="Times New Roman"/>
          <w:color w:val="000000"/>
        </w:rPr>
        <w:t xml:space="preserve"> </w:t>
      </w:r>
    </w:p>
    <w:p w:rsidR="002C17F4" w:rsidRDefault="00A13C38" w:rsidP="002C1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The documents to which the respondent’s counsel objects are in four batches: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An assortment of correspondence and legal opinions, mainly on civil appeal number 29 of 2003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exchanged among the President, the Solicitor General, Minister of State for Finance (General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Duties) the President’s PPS, the first appellant and the NPART’s Trust Administrator;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The record of proceedings and orders in civil appeal number 29 of 2003;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A bundle of purported releases of mortgages/caveats dated 27 May 2005;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(4) Copies of law reports and judgments in cases listed as further authorities.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 of those documents were part of the record of the Tribunal in the original proceedings, and none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formally adduced as additional evidence in the Court of Appeal. The first batch was forwarded under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cover of a letter to the Registrar of the Court of Appeal on 4 May 2005 in which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Kuguminkiriza</w:t>
      </w:r>
      <w:proofErr w:type="spellEnd"/>
      <w:r w:rsidR="002C17F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Company Advocates for the appellants stated: “We hereby forward a set of correspondence and an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from the Solicitor General in respect of the above appeal which we intend to rely upon during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the appeal. They should not be construed as forming part of the record of proceedings”. It is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surprising, however that despite that intimation, the same advocates included the “set” in the record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appeal. The second and fourth batches were apparently introduced in the Court of Appeal record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the authorities. The same advocates informally forwarded the third batch to the Court of Appeal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hearing of civil appeal number 49 of 2004 and judgment was reserved. I am unable to deduce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reply to the objection, any reasonable justification for the inclusion of the documents.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equivocal excuse that the documents were included because counsel relied on civil appeal number 29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 as an authority or because it was necessary to inform the Court of Appeal that “Civil Appeal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49 of 2004 had been overtaken by events in civil appeal number 29 of 2003” is too naïve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warrant much discussion. It suffices to say two things. Firstly, citing a decided case, as an authority, does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entail producing the record of proceedings in that case, let alone third party opinions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correspondence about it. Secondly it is an elementary principle that an appellate court acts only 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that was properly before the trial court unless for good cause the appellate court gives leave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party to adduce additional evidence on appeal. I find that all the documents objected to, which run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300 pages, constituting about one third of the record of appeal, were included in the record of appeal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total disregard of that principle and of rule 82 of this Court’s Rules. I am constrained to reiterate what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said in </w:t>
      </w:r>
      <w:r>
        <w:rPr>
          <w:rFonts w:ascii="Times New Roman" w:hAnsi="Times New Roman" w:cs="Times New Roman"/>
          <w:i/>
          <w:iCs/>
          <w:color w:val="000000"/>
        </w:rPr>
        <w:t xml:space="preserve">General Industries (U) Limited v NPART </w:t>
      </w:r>
      <w:r>
        <w:rPr>
          <w:rFonts w:ascii="Times New Roman" w:hAnsi="Times New Roman" w:cs="Times New Roman"/>
          <w:color w:val="000000"/>
        </w:rPr>
        <w:t>criminal appeal number 25 of 1998 that: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improper for a party to seek to attempt to influence the decision of an appellate court with evidence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was neither properly adduced and admitted during proceedings in the lower court nor received by order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that appeal court.”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If the objection had been timely, I would not have hesitated to expunge the impugned documents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that a fresh record of appeal be filed and the appellants be condemned in the thrown away costs.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all I can do now is to disregard the said documents, save any on which the Court of Appeal relied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arriving at its decision.</w:t>
      </w:r>
      <w:r w:rsidR="002C17F4">
        <w:rPr>
          <w:rFonts w:ascii="Times New Roman" w:hAnsi="Times New Roman" w:cs="Times New Roman"/>
          <w:color w:val="000000"/>
        </w:rPr>
        <w:t xml:space="preserve"> </w:t>
      </w:r>
    </w:p>
    <w:p w:rsidR="00A13C38" w:rsidRDefault="00A13C38" w:rsidP="002C1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was on ten grounds but in the written submissions grounds one and ten were abandoned.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eight lacks substance. Ground eight lacks substance. In it, the appellants complain that in the lead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 stated that “UCB appointed Receivers and Managers under the mortgage deed to sell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(mortgaged) properties” whereas the appointment was under a debenture. I agree that the statement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inaccurate, but it was not in any way relied upon in, or otherwise material to the decisions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I need say no more on it. Grounds six and nine were consolidated and the rest of the grounds were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separately, but in a sequence that I don’t find expedient to follow. I will instead consider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in the following order of the issues that arise from them; namely whether: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institution of the suit occasioned a miscarriage of justice, (ground two).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The suit was time-barred, (ground four).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The subject matter was res judicata, or the respondent was precluded from suing by reason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Trust Administrator’s appeal, (grounds three, six and nine).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There were shortfalls in respect of the powers of attorney, (ground five).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The respondent released or waived its rights over the mortgaged property (ground seven).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two reads as follows: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The learned Justices . . . of Appeal erred in law and fact when they held that the wrong procedure of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bringing the action adopted by the applicant did not occasion a miscarriage of justice . . 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instituted the suit in the Tribunal by Notice of Motion. The appellants contended, both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and in the Court of Appeal that the suit ought to have been instituted by Originating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pursuant to Order 34, rule 3A of the Civil Procedure Rules (CPR). The Court of Appeal held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erroneous to institute the suit by Notice of Motion, but that the error was not fatal, as it did not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occasion miscarriage of justice. In the lead judgment of the Court of Appeal,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 said: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Tribunal stated that Originating Summons is best suited for cases where the contentions between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do not involve disputed complex facts. I agree, where the judge is of opinion that the dispute cannot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best be disposed of on Originating Summons, he may either adjourn it into court for taking oral evidence or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 the parties to a suit in the ordinary course, but certainly not by Notice of Motion.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instant case, my view is that the respondent erred in bringing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proceedings by a Notice of Motion.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imposing question then is, did that error . . . prejudice the appellants or occasion a miscarriage of justice?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recalling the courts’ duty to administer justice without undue regard to technicalities, the learned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of Appeal concluded: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Tribunal implied that it acted under section 14(3) of the NPART Act to modify Order 34, rule 3A to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hold that the procedure adopted by the respondent was proper in order to secure substantive justice.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agree section 14(3) of the NPART Act gives that power to the Tribunal. The facts of this case show that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appellants were not prejudiced by the respondent’s error when it adopted the wrong procedure.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 do not dispute their indebtedness to the respondent, a debt the respondent seeks to recover. From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these circumstances of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case, substantive justice demands that the respondent be allowed to recover from the appellants the debt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owing.”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appellants contends that the respondent’s suit ought to have been struck out because it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irregularly instituted. Allowing it to proceed was prejudicial to the appellants because they were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thereby compelled to defend an incompetent suit. Furthermore, because the suit involved complex issues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facts and law, proceeding summarily on affidavit evidence only, prejudiced the appellants who were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thereby deprived of the benefit of full trial of all issues. Counsel also contend that section 14(3)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NPART Act, did not vest in the Tribunal unlimited discretion to modify the CPR to the extent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a wrong procedure as a right one. On the other hand, while disagreeing with, but without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cross-appealing against, the Court of Appeal holding that proceeding by Notice of Motion was erroneous,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 supported that court’s holding that the Tribunal had discretionary power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modify Order 34, rule 3A of the Civil Procedure Rule, and had rightly exercised it in the interest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justice.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addressing the core holding that is subject of this ground of appeal, I find it imperative to make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observations on two related holdings, concerning Order 34, rule 3A and section 14(3) of the NPART Act.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34, rule 3A of Civil Procedure Rule provides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>that a legal or equitable mortgagee 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mortgagor and any person entitled to property that is subject to a legal or equitable mortgage or charge: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“may take out as of course an Originating Summons returnable before a judge in chambers, for such relief of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nature or kind following as may be by the summons specified, and as the circumstances of the case may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rule lists the applicable reliefs, which include sale, foreclosure, delivery of possession by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mortgagor and redemption. The import of the provision is to permit any of the classified persons seeking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of the listed reliefs, to institute a suit by originating summons instead of any other mode of instituting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suit. It is trite that in civil matters the only modes of instituting suits are by plaint, originating summons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petition. A Notice of Motion is not an alternative mode of instituting any type of suit. Surprisingly,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in the Tribunal and in the Court of Appeal, counsel for the respondent sought to justify the resort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Motion under Order 48, rule 1 of the Civil Procedure Rules in the instant case on the mistaken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the Mortgage Act, which provides for the right to apply for foreclosure, does not specify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of exercising that right. That Act, however, is not concerned with rules of procedure. Proceedings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arising from it are governed by the Civil Procedure Rules and what was applicable in this case was Order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34, rule 3A not Order 48, rule 1. In my view, therefore, the Court of Appeal rightly held that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 of the suit by Notice of Motion was erroneous.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due respect, however, I do not agree with its holding that section 14(3) of NPART Act vests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in the Tribunal to modify provisions of Order 34, rule 3A or of any other rule of the Civil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Rules. The section reads: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Tribunal shall, in the exercise of its jurisdiction under this Act, have all powers of the High Court, and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that purpose, the Civil Procedure Rules applicable to civil actions before the High Court shall, with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modifications, apply to the proceedings before the Tribunal.”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Essentially, this provision vests in the Tribunal the powers of the High Court and enjoins it to apply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Civil Procedure Rules in its proceedings. To my understanding, the qualification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Rules “shall apply (to the Tribunal’s proceedings) with necessary modifications” is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permit the Tribunal to apply the provisions in the Civil Procedure Rules with modifications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necessitated by peculiarities of trial by the Tribunal. In applying the rules they should be read as if they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written for proceedings in the Tribunal. The provision is not a general license to the Tribunal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 any of the rules at its discretion. For example in regard to Order 34, rule 3A, it is necessary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modify the expression ‘returnable before a judge in chambers’ to read ‘returnable before the Tribunal’.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view, nothing concerning the exercise of the Tribunal’s jurisdiction in handling the instant suit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necessitated modification of the mode of instituting the suit. With due respect, the view that the Tribunal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power to modify Order 34, rule 3A of the Civil Procedure Rules is, to that extent erroneous.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now turn to the appellants’ contention that the institution of </w:t>
      </w:r>
      <w:r>
        <w:rPr>
          <w:rFonts w:ascii="Times New Roman" w:hAnsi="Times New Roman" w:cs="Times New Roman"/>
          <w:color w:val="000000"/>
        </w:rPr>
        <w:lastRenderedPageBreak/>
        <w:t>the suit occasioned miscarriage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justice. If the appellants had taken out a preliminary objection that the suit by Notice of Motion was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irregular, they would undoubtedly have been entitled to an order striking it out. However, to make such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after trial, albeit on affidavit evidence only, or subsequently on appeal, would amount to having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undue regard to technicalities to the prejudice of substantive justice. In his lead judgment,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correctly observed that the respondent seeks to recover a debt that is owed and that was not disputed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throughout the diverse and protracted litigation. I should add that despite the wrong procedure,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could have moved the court to have a full trial or to examine deponents of affidavits as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witnesses, to ensure trial of all issues. They chose not to do so. In my opinion they were not prejudiced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 miscarriage of justice was occasioned. In the circumstances I think it was appropriate to invoke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principle preserved in article 126(2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Constitution that substantive justice should not be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unduly impeded by technicalities. Ground two must fail.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four reads: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learned Justices of . . . Appeal erred in law and fact when they held that the debt claim had not been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proved to be time barred.”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appellants’ contention on this ground is in the alternative, namely that either as a claim in contract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debt, or as a foreclosure action, the suit was time barred as it was filed, in the former alternative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six years, and in the latter alternative more than twelve years, after the cause of action accrued.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due respect, I find it unnecessary to discuss the farfetched arguments on the first alternative because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this is a foreclosure action. It is also clear from the provisions of sections 5 and 18(4)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Act, that the limitation period for such cause of action is twelve years. The suit was filed 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 February 2003, but neither party was clear on the date when the limitation period started to run.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 of their stance that the suit was time barred, counsel for the appellants, who insist that the suit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claim in contract, relied on a general assertion that the default in repayment started in or prior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1990.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and the Court of Appeal differed in their conclusions on the issue. The Tribunal held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no limitation period in respect of application for foreclosure. The Court of Appeal rightly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overruled that holding and decided the issue on the principle that the burden to establish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fact lies on the party that alleges it and the appellants had not discharged the burden. In the lead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 said: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the instant case, it is the appellants who alleged that the respondent’s application was time barred. They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bore the burden to establish that fact by showing the date when the cause of action accrued and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the application was filed. This was not done. There is no evidence, oral or by affidavit, showing when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cause of action for foreclosure accrued to the respondent. It is only this that would show (that) when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filed this application . . . twelve years period had already elapsed . . .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circumstances, the appellants did not discharge the burden to show that the cause of action before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Tribunal was time barred.”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there is sufficient evidence on record, which shows that the suit was not time barred. I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need not decide conclusively whether the burden lay on the respondent to prove that its cause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action was subsisting and not extinguished by lapse of time, or on the appellants to prove that the suit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time barred. It is apparent that the equitable mortgages in respect of which the respondent applied for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foreclosure were created in August 1991 when the appellants surrendered to the respondent the title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certificates as additional security. I deduce this from the entries on the title certificates annexed to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application as well as from the lead judgment of this Court in civil appeal number 5 of 1999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annexed to the affidavit in reply. The said judgment also makes it clear that the additional security was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pursuant to an agreement to restructure the debt and reschedule its repayment. Any prior default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been compromised by the reschedule. It follows that the cause of action arising out of those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mortgages must have accrued after the mortgages were created in August 1991 and not before, as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by the appellants’ counsel. Furthermore, in the same judgment it is stated: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appellant continued to fail to service the loan. On 21 July 1992 UCB in exercise of its power under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debenture deed, appointed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Messrs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Key Agencies and Auctioneers, in writing, to be Receiver/Manager of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assets and property of the appellant. On the same day, by separate letter, UCB instructed the same firm to take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possession of, and sell by public auction, the appellant’s diverse assets charged under the debenture, and if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proceeds of sale did not liquidate the debt, to similarly sell the mortgaged land.”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tends to show that the cause of action accrued in or about July 1992. In the circumstances I find, not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that the Court of Appeal did not err to hold that the suit was not proved to be time barred, but also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on a balance of probabilities, it was shown that when the suit was filed on 25 February 2003,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period of 12 years had not expired. Ground 4 ought to fail.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grounds three, six and nine which read as follows: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“(3)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…. Appeal erred in law and fact when they held that the debt claim was not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judicata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having been found so by the High Court in High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Court civil suit 1470 of 2000 which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was never challenged having withdrawn Court of Appeal civil suit 29 of 2004. . .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(6) The learned Justices of . . . Appeal erred in law and fact when they held that the principle in section 6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Civil Procedure Act had not been brought to the attention of the Tribunal.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(9) The learned Justices of . . . Appeal erred in law and fact when they held that NPART did not claim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its employee in civil appeal number 29 of 2003.”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three grounds revolve on provisions of sections 6 and 7 of the Civil Procedure Act. Section 6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prohibits a court from trying a suit in which the matter in issue is also directly and substantially in issue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previously instituted suit that is pending in a competent court between the same parties. Section 7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prohibits a court from trying a suit in which the matter directly and substantially in issue was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directly and substantially in issue between the same parties, in a former suit that was heard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 decided by a competent court,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a matter that was adjudicated upon (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). I find it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expedient to combine the three grounds because they are all premised on the appellants’ contention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suit in the Tribunal, which culminated in this appeal, and the appellants’ suit in the High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which culminated in the Trust Administrator’s appeal that was ultimately withdrawn, were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with the same subject matter. With due respect to the learned Counsel for the appellants,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that contention is misconceived. While it is correct to say that both suits indirectly relate to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indebtedness of the first appellant to the respondent, the substantial issues for determination in the two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suits were different. As I pointed out earlier in this judgment, in High Court civil suit number 1470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 the direct and substantial issue that the court had to determine was whether the Trust Administrator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co-defendants were legally empowered to sell the mortgaged property. The High Court held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absence of a valid legal mortgage or a court order of sale the defendants were not authorised to sell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property. On the other hand, the substantial issue for determination by the Tribunal was whether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as an equitable mortgagee of the mortgaged property, was entitled to the relief of foreclosure.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issue was not directly or at all, for determination by the High Court in civil suit number 1470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2000. When it was raised and tried in the respondent’s suit in the Tribunal therefore, it was neither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pending for determination in a previously instituted suit nor was it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judicata. </w:t>
      </w:r>
      <w:r>
        <w:rPr>
          <w:rFonts w:ascii="Times New Roman" w:hAnsi="Times New Roman" w:cs="Times New Roman"/>
          <w:color w:val="000000"/>
        </w:rPr>
        <w:t>Furthermore, the two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suits were not between the same parties. The respondent was not a party to the High Court suit,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submissions by the appellants’ counsel, it did not claim under the Trust Administrator, 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litigate on basis of the same title as the said Trust Administrator.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Much as no reference is made in the three grounds of appeal to the first suit, which culminated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civil appeal number 5 of 1999, in the written submissions counsel for the appellants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sought to rely on an opinion expressed by </w:t>
      </w:r>
      <w:proofErr w:type="spellStart"/>
      <w:r>
        <w:rPr>
          <w:rFonts w:ascii="Times New Roman" w:hAnsi="Times New Roman" w:cs="Times New Roman"/>
          <w:color w:val="000000"/>
        </w:rPr>
        <w:t>Okumu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Wengi</w:t>
      </w:r>
      <w:proofErr w:type="spellEnd"/>
      <w:r>
        <w:rPr>
          <w:rFonts w:ascii="Times New Roman" w:hAnsi="Times New Roman" w:cs="Times New Roman"/>
          <w:color w:val="000000"/>
        </w:rPr>
        <w:t xml:space="preserve"> J in his judgment in civil suit number 1470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2000, that the respondent’s claim became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upon the decision of the Supreme Court in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appeal. Although the judgment of </w:t>
      </w:r>
      <w:proofErr w:type="spellStart"/>
      <w:r>
        <w:rPr>
          <w:rFonts w:ascii="Times New Roman" w:hAnsi="Times New Roman" w:cs="Times New Roman"/>
          <w:color w:val="000000"/>
        </w:rPr>
        <w:t>Okumu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Wengi</w:t>
      </w:r>
      <w:proofErr w:type="spellEnd"/>
      <w:r>
        <w:rPr>
          <w:rFonts w:ascii="Times New Roman" w:hAnsi="Times New Roman" w:cs="Times New Roman"/>
          <w:color w:val="000000"/>
        </w:rPr>
        <w:t xml:space="preserve"> J remains intact, the appeal against it having been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withdrawn, I have no hesitation in discounting that opinion because, with due respect to the learned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Judge, it was misguided. The direct and substantial issue decided by the Supreme Court in that appeal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 appointment of the Receiver/Manager by the respondent was invalid as it did not comply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debenture under which it was made. In an </w:t>
      </w:r>
      <w:r>
        <w:rPr>
          <w:rFonts w:ascii="Times New Roman" w:hAnsi="Times New Roman" w:cs="Times New Roman"/>
          <w:i/>
          <w:iCs/>
          <w:color w:val="000000"/>
        </w:rPr>
        <w:t xml:space="preserve">obiter dictum </w:t>
      </w:r>
      <w:r>
        <w:rPr>
          <w:rFonts w:ascii="Times New Roman" w:hAnsi="Times New Roman" w:cs="Times New Roman"/>
          <w:color w:val="000000"/>
        </w:rPr>
        <w:t>the court also held that the mortgage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between the respondent and the first appellant was not proved to have been validly executed by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registered proprietors/mortgagors. In their separate judgments, the learned Justices of the Supreme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went out of their way to clarify that the Court’s decision did not relate to the indebtedness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appellant to the respondent. They also variously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respondent’s entitlement to equitable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mortgage. For these reasons, I would hold that grounds three, six and nine ought to fail.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substantive part of ground five reads thus: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“(5) The learned Justices of . . . Appeal erred in law and fact when they failed to address the legal shortfalls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respect of the Powers of Attorney . . 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written submissions by the appellants’ counsel, the legal shortfalls in respect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of attorney’ which the appellants complain were not addressed by the Justices of Appeal are that: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T here</w:t>
      </w:r>
      <w:proofErr w:type="spellEnd"/>
      <w:r>
        <w:rPr>
          <w:rFonts w:ascii="Times New Roman" w:hAnsi="Times New Roman" w:cs="Times New Roman"/>
          <w:color w:val="000000"/>
        </w:rPr>
        <w:t xml:space="preserve"> were no registered powers of attorney granted to the first appellant to validate creation of an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equitable mortgage.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T he</w:t>
      </w:r>
      <w:proofErr w:type="spellEnd"/>
      <w:r>
        <w:rPr>
          <w:rFonts w:ascii="Times New Roman" w:hAnsi="Times New Roman" w:cs="Times New Roman"/>
          <w:color w:val="000000"/>
        </w:rPr>
        <w:t xml:space="preserve"> unregistered powers of attorney granted to the first appellant were not for securing the existing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indebtedness, but a fresh borrowing.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second appellant produced copies of the powers of attorney as annexure to his supplementary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in reply, I take it that the first so-called shortfall is that they were not registered, and the second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they were not intended for use in creating security for the overdraft. However, the bottom line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submissions by the appellants’ counsel on this ground is the contention that no equitable mortgage by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deposit of title certificates was created over the land owned by the second appellant. Doing my best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understand the lengthy but, with due respect, not so clear submissions, I would </w:t>
      </w:r>
      <w:proofErr w:type="spellStart"/>
      <w:r>
        <w:rPr>
          <w:rFonts w:ascii="Times New Roman" w:hAnsi="Times New Roman" w:cs="Times New Roman"/>
          <w:color w:val="000000"/>
        </w:rPr>
        <w:t>summarise</w:t>
      </w:r>
      <w:proofErr w:type="spellEnd"/>
      <w:r>
        <w:rPr>
          <w:rFonts w:ascii="Times New Roman" w:hAnsi="Times New Roman" w:cs="Times New Roman"/>
          <w:color w:val="000000"/>
        </w:rPr>
        <w:t xml:space="preserve"> the thrust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argument in support of the contention as follows: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A n equitable mortgage of land by deposit of title certificate is created only where the deposit is made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registered proprietor or by a </w:t>
      </w:r>
      <w:proofErr w:type="spellStart"/>
      <w:r>
        <w:rPr>
          <w:rFonts w:ascii="Times New Roman" w:hAnsi="Times New Roman" w:cs="Times New Roman"/>
          <w:color w:val="000000"/>
        </w:rPr>
        <w:t>donee</w:t>
      </w:r>
      <w:proofErr w:type="spellEnd"/>
      <w:r>
        <w:rPr>
          <w:rFonts w:ascii="Times New Roman" w:hAnsi="Times New Roman" w:cs="Times New Roman"/>
          <w:color w:val="000000"/>
        </w:rPr>
        <w:t xml:space="preserve"> of powers of attorney to create a security for a specified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I n the instant case the second appellant’s title certificates were neither deposited by the registered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proprietor nor by a </w:t>
      </w:r>
      <w:proofErr w:type="spellStart"/>
      <w:r>
        <w:rPr>
          <w:rFonts w:ascii="Times New Roman" w:hAnsi="Times New Roman" w:cs="Times New Roman"/>
          <w:color w:val="000000"/>
        </w:rPr>
        <w:t>donee</w:t>
      </w:r>
      <w:proofErr w:type="spellEnd"/>
      <w:r>
        <w:rPr>
          <w:rFonts w:ascii="Times New Roman" w:hAnsi="Times New Roman" w:cs="Times New Roman"/>
          <w:color w:val="000000"/>
        </w:rPr>
        <w:t xml:space="preserve"> of powers of attorney granted for the purpose of securing the overdraft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1989-1990.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color w:val="000000"/>
        </w:rPr>
        <w:t>T he</w:t>
      </w:r>
      <w:proofErr w:type="spellEnd"/>
      <w:r>
        <w:rPr>
          <w:rFonts w:ascii="Times New Roman" w:hAnsi="Times New Roman" w:cs="Times New Roman"/>
          <w:color w:val="000000"/>
        </w:rPr>
        <w:t xml:space="preserve"> deposit of the said certificates by the first appellant or its Managing Director or other servant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create an equitable mortgage to secure the overdraft because it was not supported by duly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powers of attorney for that purpose.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color w:val="000000"/>
        </w:rPr>
        <w:t>T he</w:t>
      </w:r>
      <w:proofErr w:type="spellEnd"/>
      <w:r>
        <w:rPr>
          <w:rFonts w:ascii="Times New Roman" w:hAnsi="Times New Roman" w:cs="Times New Roman"/>
          <w:color w:val="000000"/>
        </w:rPr>
        <w:t xml:space="preserve"> powers of attorney, which the second appellant granted to the first appellant on 12 July 1991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authorised the latter to mortgage the land for the purpose of securing a fresh loan, but not for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securing the existing overdraft that was already secured by a debenture.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relied on the second appellant’s averment that he was not the borrower to support his submission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title certificates were not deposited by the registered proprietor. In support of the assertion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powers of attorney granted to the first appellant were only for securing a fresh loan, counsel relied 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stipulation in the text of the power of attorney, namely: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the powers herein granted shall be irrevocable before the repayment in full of any moneys borrowed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powers so granted.”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contention is that no money was borrowed under the powers granted on 12 July 1991,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the intended security was aborted.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Court of Appeal, the so-called shortfall of the powers of attorney was neither raised as a ground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appeal, nor did it feature among the framed issues. However, in the written submissions on the fifth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issue: “whether there was an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equitable mortgage </w:t>
      </w:r>
      <w:r>
        <w:rPr>
          <w:rFonts w:ascii="Times New Roman" w:hAnsi="Times New Roman" w:cs="Times New Roman"/>
          <w:i/>
          <w:iCs/>
          <w:color w:val="000000"/>
        </w:rPr>
        <w:t>inter parte</w:t>
      </w:r>
      <w:r>
        <w:rPr>
          <w:rFonts w:ascii="Times New Roman" w:hAnsi="Times New Roman" w:cs="Times New Roman"/>
          <w:color w:val="000000"/>
        </w:rPr>
        <w:t>,” counsel submitted that the Tribunal erred in holding that any equitable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was created without proof of valid powers of attorney to “validate” the mortgage. There,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criticism stressed was that there was no power of attorney granted for purpose of securing the existing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overdraft. In the lead judgment,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 dealt with the issue summarily and answered it in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affirmative. He said: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next are issues number four and five. I have already dealt with these issues when dealing with issues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number one and two. Suffice to state that the cause of action before the Tribunal was not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 judicata</w:t>
      </w:r>
      <w:r>
        <w:rPr>
          <w:rFonts w:ascii="Times New Roman" w:hAnsi="Times New Roman" w:cs="Times New Roman"/>
          <w:color w:val="000000"/>
          <w:sz w:val="20"/>
          <w:szCs w:val="20"/>
        </w:rPr>
        <w:t>.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 raised in the application was the existence of an equitable mortgage between the parties. This issue had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earlier been decided by any competent court between the parties. There was an equitable mortgage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 parties created by the appellant’s deposit of the certificates of title with respondent.”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 of Appeal did not discuss if a power of attorney was a requirement to “validate”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equitable mortgage, let alone if the power of attorney granted was in respect of the overdraft. In my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opinion, however, if he had, he would still have held that “there was an equitable mortgage </w:t>
      </w:r>
      <w:r>
        <w:rPr>
          <w:rFonts w:ascii="Times New Roman" w:hAnsi="Times New Roman" w:cs="Times New Roman"/>
          <w:i/>
          <w:iCs/>
          <w:color w:val="000000"/>
        </w:rPr>
        <w:t>inter parte</w:t>
      </w:r>
      <w:r>
        <w:rPr>
          <w:rFonts w:ascii="Times New Roman" w:hAnsi="Times New Roman" w:cs="Times New Roman"/>
          <w:color w:val="000000"/>
        </w:rPr>
        <w:t>”. I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elaborate briefly.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129 of the Registration of Titles Act provides for the creation of an equitable mortgage by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 of a title certificate thus: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Notwithstanding anything in this Act, an equitable mortgage of land may be made by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deposit by the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registered proprietor of his or her certificate of title with intent to create a security thereon </w:t>
      </w:r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accompanied or not by a note or memorandum of deposit subject to the provisions hereinafter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contained.” [Emphasis mine.]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Semakula</w:t>
      </w:r>
      <w:proofErr w:type="spellEnd"/>
      <w:r>
        <w:rPr>
          <w:rFonts w:ascii="Times New Roman" w:hAnsi="Times New Roman" w:cs="Times New Roman"/>
          <w:color w:val="000000"/>
        </w:rPr>
        <w:t>, the second appellant, is both the registered proprietor of the land in question and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Managing Director of the first appellant through whom it transacted the business with UCB. Despite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speculative submission that the title certificates may have been delivered to UCB on behalf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by any of its officials, I deduce from circumstantial evidence that the second appellant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person who deposited the title certificates as security for the first appellant’s loan from UCB.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in his affidavit in reply he averred that he was not the borrower, he did not in any way suggest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someone else against his will or without his knowledge deposited the certificates. The fact is also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confirmed in the decisions of this Court in civil appeal number 5 of 1999 and miscellaneous application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8 of 2000, in which it was found that he, together with UCB officials, had signed the mortgage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albeit that this Court held that the exhibited mortgage document did not appear to have been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executed. Contrary to what counsel seems to imply in the written submissions, the second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cannot in law be permitted to claim that he deposited the certificates as Managing Director but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as the registered proprietor. Nor does it matter that he was not the borrower. Clearly, for purposes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129 of the Registration of Titles Act, </w:t>
      </w:r>
      <w:proofErr w:type="spellStart"/>
      <w:r>
        <w:rPr>
          <w:rFonts w:ascii="Times New Roman" w:hAnsi="Times New Roman" w:cs="Times New Roman"/>
          <w:color w:val="000000"/>
        </w:rPr>
        <w:t>Haruna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Semakula</w:t>
      </w:r>
      <w:proofErr w:type="spellEnd"/>
      <w:r>
        <w:rPr>
          <w:rFonts w:ascii="Times New Roman" w:hAnsi="Times New Roman" w:cs="Times New Roman"/>
          <w:color w:val="000000"/>
        </w:rPr>
        <w:t>, the registered proprietor deposited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certificates in question with intent to create security thereon in respect of the first appellant’s loan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UCB.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Furthermore </w:t>
      </w:r>
      <w:r>
        <w:rPr>
          <w:rFonts w:ascii="Times New Roman" w:hAnsi="Times New Roman" w:cs="Times New Roman"/>
          <w:color w:val="000000"/>
        </w:rPr>
        <w:lastRenderedPageBreak/>
        <w:t>I am not persuaded that the deposit was with intent to secure repayment of a fresh loan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did not </w:t>
      </w:r>
      <w:proofErr w:type="spellStart"/>
      <w:r>
        <w:rPr>
          <w:rFonts w:ascii="Times New Roman" w:hAnsi="Times New Roman" w:cs="Times New Roman"/>
          <w:color w:val="000000"/>
        </w:rPr>
        <w:t>materialise</w:t>
      </w:r>
      <w:proofErr w:type="spellEnd"/>
      <w:r>
        <w:rPr>
          <w:rFonts w:ascii="Times New Roman" w:hAnsi="Times New Roman" w:cs="Times New Roman"/>
          <w:color w:val="000000"/>
        </w:rPr>
        <w:t xml:space="preserve"> and not the overdraft. Although the second appellant’s allegation to that effect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supplementary affidavit in reply was not countered by way of rejoinder in any affidavit, it is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belied by the finding of this Court in civil appeal number 5 of 1999 in the following passage of my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which was the lead judgment: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or around 1990 the appellant (General Parts (U) Limited) obtained overdraft facility from UCB. As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security for the facility the appellant executed a debenture creating a floating charge over its property in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favour of UCB. Subsequently, because the appellant had difficulties in servicing the overdraft it made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proposals to the bank, which would lessen its burden. The proposals which centered on restructuring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indebtedness into two components of what were called short-term and long-term loans were discussed at a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meeting between UCB’s Board of Directors and the appellant’s Managing Director . . . accompanied by its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lawyer. Later UCB wrote to the appellant intimating that the Board had approved the proposal subject to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terms and conditions specified in the letter. After an exchange of correspondence to refine the agreed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structure and the new repayment schedule, the appellant accepted the terms and conditions in writing.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One of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those was that the appellant was to provide additional security in form of a mortgage of diverse plots of land.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mortgage of the plots of land, some of which belonged to the appellant and others to its Managing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Director, was made and signed on 12 August 1991. Although the appellant had requested for further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funding, this did not feature in what the bank approved in writing, which became in essence, the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restructuring and rescheduling agreement.</w:t>
      </w:r>
      <w:r>
        <w:rPr>
          <w:rFonts w:ascii="Times New Roman" w:hAnsi="Times New Roman" w:cs="Times New Roman"/>
          <w:color w:val="000000"/>
          <w:sz w:val="20"/>
          <w:szCs w:val="20"/>
        </w:rPr>
        <w:t>” [Emphasis mine.]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obviously shows the purpose of the mortgage to be additional security for the overdraft that was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restructured into loans, and not for unapproved further funding. The powers of attorney, which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 granted in respect of each plot of land, were to enable the first appellant to execute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mortgage. The only rational way to construe the stipulation that those powers would be irrevocable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payment of moneys borrowed thereunder must be in the context of the agreement to restructure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overdraft into two loans and reschedule the repayment thereof. The restructured loan in that context is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deemed to have been “borrowed’ under those powers. The fact that after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request for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funding was rejected, the second appellant did not attempt to withdraw or revoke the powers 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granted, fortifies me in that view. It also gives me the impression that the claim that the powers were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in respect of a fresh loan is an afterthought designed to avoid liability.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</w:t>
      </w:r>
      <w:proofErr w:type="spellStart"/>
      <w:r>
        <w:rPr>
          <w:rFonts w:ascii="Times New Roman" w:hAnsi="Times New Roman" w:cs="Times New Roman"/>
          <w:color w:val="000000"/>
        </w:rPr>
        <w:t>summarise</w:t>
      </w:r>
      <w:proofErr w:type="spellEnd"/>
      <w:r>
        <w:rPr>
          <w:rFonts w:ascii="Times New Roman" w:hAnsi="Times New Roman" w:cs="Times New Roman"/>
          <w:color w:val="000000"/>
        </w:rPr>
        <w:t xml:space="preserve"> my conclusions as follows. Firstly, I am satisfied that the second appellant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deposited with UCB the title certificates in respect of his plots of land in question with intent to create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thereon. Secondly, I am also satisfied that the security was for repayment of the first appellant’s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restructured loan. Thirdly, although it was intended to create a legal mortgage, failure to properly execute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necessary instrument rendered the status of the security an equitable mortgage by virtue of section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129 of the Registration of Titles Act. Fourthly, the powers of attorney granted to the first appellant were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empower it to execute necessary instruments but were not components for creation or validation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equitable mortgage. Lastly, it is apparent from the copies of the title certificates annexed to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notice of motion, that after the decision of this Court in civil appeal number 5 of 1999,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2000, the respondent lodged a caveat on the titles in question obviously on strength of the equitable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mortgages. Accordingly I would uphold the finding that equitable mortgages binding on the second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were created on his plots of land in question. The alleged so-called “shortfalls” of powers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were not substantiated. Ground five also ought to fail.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seven reads: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learned Justices of Appeal erred in law and fact when they held without evidence that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respondent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has never voluntarily released or waived its said equitable right of action over these properties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yet there was an order of Court in civil appeal 29 of 2003 approved by the respondent therein for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release by Court of the certificates of title for the suit properties.”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ground of appeal rests on the summation that the respondent released or waived its rights over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mortgaged property when, following the withdrawal of the Trust Administrator’s appeal (civil appeal 29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2003), the Court of Appeal ordered that the title certificates, which had been exhibited in court, be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returned to the appellants. That summation is in turn drawn from the proceedings in that appeal, which I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held were not properly adduced as evidence before the Court of Appeal. That would have been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reason for me to hold that the ground ought to fail. However, in the interest of clarity, I am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constrained to say more, showing other reasons why the ground must fail.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this second appeal, the appellants did not raise the plea that the respondent had released 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waived its equitable rights over the mortgaged property. If they desired to rely on such plea the onus lay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them to prove it. They neither alleged nor adduced any evidence at the trial or additional evidence in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to discharge that onus. Accordingly, whether the respondent released or waived its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</w:t>
      </w:r>
      <w:r>
        <w:rPr>
          <w:rFonts w:ascii="Times New Roman" w:hAnsi="Times New Roman" w:cs="Times New Roman"/>
          <w:color w:val="000000"/>
        </w:rPr>
        <w:lastRenderedPageBreak/>
        <w:t>rights was not an issue at the trial. Even at the pre-hearing conference before the Registrar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held on 15 July 2005, it was not included among the six issues that the parties framed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agreed upon for determination by the Court of Appeal. The closest to it was whether the Tribunal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erred in deciding the respondent’s application before the disposal of the Trust Administrator’s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Under that issue, the appellants canvassed the point that the respondent having permitted the title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certificates to be exhibited in the Trust Administrator’s case, and thereby parted with possession, they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ipso facto </w:t>
      </w:r>
      <w:r>
        <w:rPr>
          <w:rFonts w:ascii="Times New Roman" w:hAnsi="Times New Roman" w:cs="Times New Roman"/>
          <w:color w:val="000000"/>
        </w:rPr>
        <w:t>could not exercise the right to foreclose. The complaint in ground seven is against the court’s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holding on that point. It is useful to put the holding in proper context. In the lead judgment,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posed the question “whether by tendering a document in court as evidence a party thereby surrenders 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releases to the court or the other party proprietary rights over the document?” After reviewing authorities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cited by counsel on the issue, the learned Justice of Appeal concluded: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seems clear to me . . . that to release or waive a right of action or interest in property, legal or equitable,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requires an express or implied agreement of the person entitled to that right. Where the agreement is express,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has to be under seal or supported by valuable consideration. An implied agreement, if acted upon by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party, would operate on the principle of estoppel.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instant case,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there is no evidence showing either an express or implied agreement by the respondent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to release or waive its right of action under the equitable mortgage between the parties. There is also no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evidence of any consideration for an express agreement, if any, nor evidence of an agreement by conduct of</w:t>
      </w:r>
      <w:r w:rsidR="002C17F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respondent</w:t>
      </w:r>
      <w:r>
        <w:rPr>
          <w:rFonts w:ascii="Times New Roman" w:hAnsi="Times New Roman" w:cs="Times New Roman"/>
          <w:color w:val="000000"/>
          <w:sz w:val="20"/>
          <w:szCs w:val="20"/>
        </w:rPr>
        <w:t>. Mere permitting the certificates of title of the suit properties to be exhibited in court as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did not extinguish the respondent’s equitable right of action. This was neither an express nor implied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of the respondent to release or waive the right.” [Emphasis mine.]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that the fact of permitting the use of the certificates of title, as court exhibits in the </w:t>
      </w:r>
      <w:r>
        <w:rPr>
          <w:rFonts w:ascii="Times New Roman" w:hAnsi="Times New Roman" w:cs="Times New Roman"/>
          <w:i/>
          <w:iCs/>
          <w:color w:val="000000"/>
        </w:rPr>
        <w:t>Trust</w:t>
      </w:r>
      <w:r w:rsidR="002C17F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Administrator</w:t>
      </w:r>
      <w:r>
        <w:rPr>
          <w:rFonts w:ascii="Times New Roman" w:hAnsi="Times New Roman" w:cs="Times New Roman"/>
          <w:color w:val="000000"/>
        </w:rPr>
        <w:t>’s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cannot be construed as evidence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release or waiver of the respondent’s rights over the certificates, let alone the mortgaged property.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Justice of Appeal went on to add: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my view, even the order of the court returning the certificates of title to the suit properties to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 when criminal appeal 29 of 2003 was withdrawn did not affect the respondent’s right. The reasons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firstly that the respondent was not a party to that appeal. Secondly, that was not a voluntary action of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Despite my earlier finding that the record of proceedings in the </w:t>
      </w:r>
      <w:r>
        <w:rPr>
          <w:rFonts w:ascii="Times New Roman" w:hAnsi="Times New Roman" w:cs="Times New Roman"/>
          <w:i/>
          <w:iCs/>
          <w:color w:val="000000"/>
        </w:rPr>
        <w:t>Trust Administrator</w:t>
      </w:r>
      <w:r>
        <w:rPr>
          <w:rFonts w:ascii="Times New Roman" w:hAnsi="Times New Roman" w:cs="Times New Roman"/>
          <w:color w:val="000000"/>
        </w:rPr>
        <w:t>’s appeal ought to be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disregarded, I am constrained to observe, in view of this holding, that the learned Justice of Appeal could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added that the order made in civil appeal number 29 of 2003, for the “return” of the title certificates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appellants, had no legal basis. It was not made in consequence of a judicial investigation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adjudication on who was entitled to possession of the certificates. When the appeal was withdrawn,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status quo ante </w:t>
      </w:r>
      <w:r>
        <w:rPr>
          <w:rFonts w:ascii="Times New Roman" w:hAnsi="Times New Roman" w:cs="Times New Roman"/>
          <w:color w:val="000000"/>
        </w:rPr>
        <w:t>ought to have been restored. Since in the judgment from which the appeal had arisen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had not adjudicated on the matter, the certificates ought to have been returned to the party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produced them as exhibits. Counsel did not advance any ground for the request that the certificates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given to the opposite party; nor did the court give any reason for its order that the certificates be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returned to the appellants. I am not persuaded by counsel for the appellants’ strenuous argument that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consented to the order through its legal officer in whose presence the order was made.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was obviously made in error and cannot be basis for an inference that the respondent released or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waived its right to foreclose the equitable mortgages.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I find no justification whatsoever to fault the Court of Appeal for holding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did not release or waive its rights over the mortgaged property. Ground seven ought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 I find no merit in the appeal. I would dismiss it with costs to the respondent here, in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and in the Tribunal.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I have had the advantage of reading in draft the judgment prepared by my learned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and I agree with his reasoning and his conclusions that this appeal should be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dismissed. I also agree with the orders which he has proposed. I wish to make brief comments on three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matters. The first is adherence to the Chief Justices Practice Direction number 2 of 2005. The parties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filed written arguments under rule 93 of the rules of this Court.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Kugumikiriza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Kugumikiriza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Advocates represents the appellants. Both in his original written arguments in support of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and in the rejoinder to the response to his arguments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counsel for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Kugumikiriza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breached the guidelines set out in Practice Direction on Presentation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Oral and Written Submissions and Arguments in the Supreme Court issued by his Lordship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Justice on 13 April 2005. (Practice Direction number 2 of 2005). Instead of the ten pages in respect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arguments in support of the appeal and three pages in rejoinder, learned Counsel filed 14 pages and 10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pages respectively without leave of court as required by the Practice Direction.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are sound reasons why the Practice Direction set these limits. </w:t>
      </w:r>
      <w:r>
        <w:rPr>
          <w:rFonts w:ascii="Times New Roman" w:hAnsi="Times New Roman" w:cs="Times New Roman"/>
          <w:color w:val="000000"/>
        </w:rPr>
        <w:lastRenderedPageBreak/>
        <w:t>One of such reasons is to enable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to focus on material issues which are in dispute and required resolution by the Court. The other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reason, among others, is to </w:t>
      </w:r>
      <w:proofErr w:type="spellStart"/>
      <w:r>
        <w:rPr>
          <w:rFonts w:ascii="Times New Roman" w:hAnsi="Times New Roman" w:cs="Times New Roman"/>
          <w:color w:val="000000"/>
        </w:rPr>
        <w:t>minimise</w:t>
      </w:r>
      <w:proofErr w:type="spellEnd"/>
      <w:r>
        <w:rPr>
          <w:rFonts w:ascii="Times New Roman" w:hAnsi="Times New Roman" w:cs="Times New Roman"/>
          <w:color w:val="000000"/>
        </w:rPr>
        <w:t xml:space="preserve"> repetitive arguments.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comment is on ground two of this appeal.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complaint by the appellants is that the Court of Appeal erred when it held that wrong procedure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which the respondent instituted foreclosure proceedings, did not occasion a miscarriage of justice.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counsel argued that since the Court of Appeal found that the Trust erred in instituting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foreclosure proceedings by notice of motion instead of by originating summons under Order 34, rule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3A of Civil Procedure Rules, the court should have allowed the appeal, instead of upholding the decision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NPART Tribunal on the basis that the decision did not occasion a miscarriage of justice.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 supported the reasoning and conclusions of the Court of Appeal.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Ordinarily a mortgagor or a mortgagee would enforce his or her rights through court by a procedure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as originating summons as prescribed by Order 34, rule 3A of the Criminal Procedure Rules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rule reads as follows: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mortgagee or mortgagor, whether legal or equitable or any person entitled to or having property subject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legal or equitable charge, or any person having the right to foreclose or redeem any mortgage, whether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legal or equitable, may take out as of course an originating summons returnable before a judge . . . for such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relief of the nature or kind following as may be by the summons specified and as the circumstances of the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may require that is to say Sale, foreclosure . . 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Tribunal’s opinion was that because of the use of the words “May take out as of course,” in the rule,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not mandatory for the respondent to institute foreclosure proceedings by use of originating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and, therefore, the respondent was justified in instituting the foreclose proceedings by notice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motion. The Tribunal held further that what was important under the </w:t>
      </w:r>
      <w:r w:rsidR="002C17F4">
        <w:rPr>
          <w:rFonts w:ascii="Times New Roman" w:hAnsi="Times New Roman" w:cs="Times New Roman"/>
          <w:color w:val="000000"/>
        </w:rPr>
        <w:t>Non-Performing</w:t>
      </w:r>
      <w:r>
        <w:rPr>
          <w:rFonts w:ascii="Times New Roman" w:hAnsi="Times New Roman" w:cs="Times New Roman"/>
          <w:color w:val="000000"/>
        </w:rPr>
        <w:t xml:space="preserve"> Assets Recovery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Trust Statute (NPART Statute) which created the Tribunal, was for the Tribunal to observe the rules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justice. The answer to this matter lies on which view one takes of two sections of the statute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complement each other and are relevant on this matter.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civil jurisdiction of NPART Tribunal is governed by section 16 of the NPART Act. </w:t>
      </w:r>
      <w:proofErr w:type="spellStart"/>
      <w:r>
        <w:rPr>
          <w:rFonts w:ascii="Times New Roman" w:hAnsi="Times New Roman" w:cs="Times New Roman"/>
          <w:color w:val="000000"/>
        </w:rPr>
        <w:t>Insofaras</w:t>
      </w:r>
      <w:proofErr w:type="spellEnd"/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section 16(3) states: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Tribunal shall, in the exercise of its jurisdiction under this statute have all the powers of the High Court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for that purpose, the Civil Procedure Rules applicable to civil action before the High Court shall, with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modifications, apply to civil proceedings before the tribunal.”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quite obvious that the Civil Procedure Rules regulate the conduct of civil proceedings in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Tribunal. Where it is necessary, modification to any Civil Procedure Rule can be made by the Tribunal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the necessity of any particular civil proceedings. The question which then arises is whether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modification permits a party and or the Non-Performing Assets Recovery Trust (NPART) to institute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foreclosure proceedings by a notice of motion rather than by an originating summons.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appellants’counsel</w:t>
      </w:r>
      <w:proofErr w:type="spellEnd"/>
      <w:r>
        <w:rPr>
          <w:rFonts w:ascii="Times New Roman" w:hAnsi="Times New Roman" w:cs="Times New Roman"/>
          <w:color w:val="000000"/>
        </w:rPr>
        <w:t xml:space="preserve"> arguments are that use of notice of motion would not allow opportunity to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to conduct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properly. In effect he contends that the procedure adopted put his client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a disadvantage.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the opinion of Court of Appeal and submitted in summary that the appellants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afforded opportunity to defend themselves which they did. I do not agree that modification of rule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3A should be construed to mean that a party is free to substitute a mode of institution of a proceeding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by the Civil Procedure Rules. The Court of Appeal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on section 18 for its opinion to the effect that the mode adopted in this case is proper.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 relates to general conduct of disputes in the NPART Tribunal and in so far as relevant,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18(1) reads as follows: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Tribunal shall in the exercise of its functions under this statute be guided by the rules of natural justice.”</w:t>
      </w:r>
      <w:r w:rsidR="002C1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relied on this provision to hold that it should not be bogged down by technicalities.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Technicalities or no technicalities, the question that arises then is how </w:t>
      </w:r>
      <w:r w:rsidR="002C17F4">
        <w:rPr>
          <w:rFonts w:ascii="Times New Roman" w:hAnsi="Times New Roman" w:cs="Times New Roman"/>
          <w:color w:val="000000"/>
        </w:rPr>
        <w:t>section 16(3) can</w:t>
      </w:r>
      <w:r>
        <w:rPr>
          <w:rFonts w:ascii="Times New Roman" w:hAnsi="Times New Roman" w:cs="Times New Roman"/>
          <w:color w:val="000000"/>
        </w:rPr>
        <w:t xml:space="preserve"> be read together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section 18(1). In my view the latter section simply stresses the necessity of affording parties to a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an opportunity to present their respective contentions. The former section indicates the rules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governing the conduct of civil disputes. So the two sections are simply complementary to each other. 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level in the Tribunal, it would have been proper in this case for the Tribunal to order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use originating summons (or indeed a plaint) to commence the proceedings. However, on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these proceedings, I do not think that the appellants suffered any injustice as argued by their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next comment on the complication of the record of appeal.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the observations of my learned Brother,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JSC, in respect of the conduct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appellants who it would seem, does not understand the requirements of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(2) of rule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82 of the rules of this Court.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 very clearly enumerates the materials that should constitute the contents of a record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appeal. The unjustifiable introduction at the stage </w:t>
      </w:r>
      <w:r>
        <w:rPr>
          <w:rFonts w:ascii="Times New Roman" w:hAnsi="Times New Roman" w:cs="Times New Roman"/>
          <w:color w:val="000000"/>
        </w:rPr>
        <w:lastRenderedPageBreak/>
        <w:t>of lodging a second appeal in this Court of documents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occupying three hundred pages of material which were neither produced nor admitted at the trial as part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record nor as evidence, has no basis whatsoever. In my opinion even the inclusion in the record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of full judgments cited in the Court of Appeal has no basis and is improper. The practice of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disregard of our rules generally and rule 82 in particular is becoming increasingly common and,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it must be curbed. Needless to say this Court is expected to consider the opinion of the Court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on the material presented to it for consideration and nothing else. These materials are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specifically set out in rule 82. Court Rules of Procedure serve an important purpose namely to ensure that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ordinarily the conduct of litigation or appeals is done in an orderly and known fashion. Moreover I think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exclusion of extraneous and or irrelevant materials is based on sound reasons. Such materials tend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take up valuable time of the Court by making justices spend time perusing </w:t>
      </w:r>
      <w:proofErr w:type="spellStart"/>
      <w:r>
        <w:rPr>
          <w:rFonts w:ascii="Times New Roman" w:hAnsi="Times New Roman" w:cs="Times New Roman"/>
          <w:color w:val="000000"/>
        </w:rPr>
        <w:t>alot</w:t>
      </w:r>
      <w:proofErr w:type="spellEnd"/>
      <w:r>
        <w:rPr>
          <w:rFonts w:ascii="Times New Roman" w:hAnsi="Times New Roman" w:cs="Times New Roman"/>
          <w:color w:val="000000"/>
        </w:rPr>
        <w:t xml:space="preserve"> of irrelevant materials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not necessary for the decision of court. I think it is incumbent upon members of the bar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study properly our rules and lodge appeals in conformity with the rules of this Court.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has come when any advocate who indulges in the exercise of not conforming to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of our rules to be ordered under rules 102 of the Rules to personally pay costs occasioned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inclusion in the record of appeal of irrelevant material. This will help in curbing the practice by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in including in the record of Appeal a lot of irrelevant materials.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agree that the appellants must pay the respondent its costs here, in the Court of Appeal and in the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 and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JSC concurred with the judgment made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JJSC.</w:t>
      </w:r>
      <w:r w:rsidR="002C1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Kuguminkiriza</w:t>
      </w:r>
      <w:proofErr w:type="spellEnd"/>
    </w:p>
    <w:p w:rsidR="00A13C38" w:rsidRDefault="00A13C38" w:rsidP="00A13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A13C38" w:rsidP="00A13C38"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Byenkya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Kihika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38"/>
    <w:rsid w:val="002C17F4"/>
    <w:rsid w:val="00A13C38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A06B-91C0-4478-A5B7-0F4AC9CB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8387</Words>
  <Characters>47810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2018-07-05T06:10:00Z</dcterms:created>
  <dcterms:modified xsi:type="dcterms:W3CDTF">2018-07-12T12:23:00Z</dcterms:modified>
</cp:coreProperties>
</file>