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General Parts (U) Limited and another v Non-Performing Assets Recovery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Trust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March 2006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9/05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Katubeve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Record of Appeal – Contents of the record of appeal – Procedure to be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determining documents to be included in record – Whether the appellants had breached the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procedures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Rules 82 and 93 – Supreme Court Rules.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Institution of suits – Conduct of proceedings before Tribunal – Mode of institution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suit – Whether a Notice of Motion a proper mode of instituting a suit before the Tribunal – Whether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Tribunal had discretionary power to modify the Civil Procedure Rules – Whether institution of the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occasioned a miscarriage of justice – NPART Act – Sections 14(3) and 18 – Order 34, rule 3A –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Rules.</w:t>
      </w:r>
    </w:p>
    <w:p w:rsidR="00BF42AD" w:rsidRDefault="0050238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F42AD">
        <w:rPr>
          <w:rFonts w:ascii="Times New Roman" w:hAnsi="Times New Roman" w:cs="Times New Roman"/>
          <w:i/>
          <w:iCs/>
          <w:color w:val="000000"/>
        </w:rPr>
        <w:t xml:space="preserve">[3] Civil procedure – </w:t>
      </w:r>
      <w:r w:rsidR="00BF42AD">
        <w:rPr>
          <w:rFonts w:ascii="Times New Roman" w:hAnsi="Times New Roman" w:cs="Times New Roman"/>
          <w:color w:val="000000"/>
        </w:rPr>
        <w:t xml:space="preserve">Res judicata </w:t>
      </w:r>
      <w:r w:rsidR="00BF42AD">
        <w:rPr>
          <w:rFonts w:ascii="Times New Roman" w:hAnsi="Times New Roman" w:cs="Times New Roman"/>
          <w:i/>
          <w:iCs/>
          <w:color w:val="000000"/>
        </w:rPr>
        <w:t>– Parties to suits in question – Issues to be determined in suits in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question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 current suit was </w:t>
      </w:r>
      <w:r>
        <w:rPr>
          <w:rFonts w:ascii="Times New Roman" w:hAnsi="Times New Roman" w:cs="Times New Roman"/>
          <w:color w:val="000000"/>
        </w:rPr>
        <w:t xml:space="preserve">res judicata </w:t>
      </w:r>
      <w:r>
        <w:rPr>
          <w:rFonts w:ascii="Times New Roman" w:hAnsi="Times New Roman" w:cs="Times New Roman"/>
          <w:i/>
          <w:iCs/>
          <w:color w:val="000000"/>
        </w:rPr>
        <w:t>– Sections 6 and 7 – Civil Procedure Act.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Land Law – Equitable Mortgages – Creation of equitable mortgages by deposit of title – Intention to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create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security – Whether valid equitable mortgages in suit properties had been created – Section129 –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Registration of Titles Act.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[5] Limitation of actions – Suit for foreclosure – Limitation period – Burden of proof – Whether the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had proved that the suit was time-barred – Sections 5 and 18(4) – Limitation Act.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0238D" w:rsidRDefault="00BF42AD" w:rsidP="0050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had a bank account with UCB on which it had overdraft facilities secured by a floating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debenture over its assets. In 1991, it agreed with the latter to convert part of the outstanding balance into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short-term loan. The parties also agreed to reschedule payment on condition that the first appellant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provided, as further security, a legal mortgage over its property. Some of the property securing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overdraft belonged to the first appellant while the rest belonged to the second appellant, who was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Managing Director of the first appellant. Title certificates to the property were accordingly surrendered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bank. The first appellant and the bank also executed a mortgage which was registered and entered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titles as a legal mortgage.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21 July 1992, following the first appellant’s default on repayments of the loan, the bank appointed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Receiver/Manager to take possession of the first appellant’s assets and recover all the outstanding debt.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refused to allow the Receiver/Manager to take possession. The bank then filed suit against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 in the High Court seeking a declaration that the Receiver/Manager was properly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appointed. </w:t>
      </w:r>
      <w:r w:rsidR="0050238D">
        <w:rPr>
          <w:rFonts w:ascii="Times New Roman" w:hAnsi="Times New Roman" w:cs="Times New Roman"/>
          <w:color w:val="000000"/>
        </w:rPr>
        <w:t>Sometime</w:t>
      </w:r>
      <w:r>
        <w:rPr>
          <w:rFonts w:ascii="Times New Roman" w:hAnsi="Times New Roman" w:cs="Times New Roman"/>
          <w:color w:val="000000"/>
        </w:rPr>
        <w:t xml:space="preserve"> thereafter, the respondent, to whom the debt has been assigned as “a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non-performing asset”, joined the suit as a co-plaintiff. The suit ultimately reached the Court of Appeal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Civil Appeal number 5 of 1999, which in March 2000 declared the appointment of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Receiver/Manager improper and the execution of the mortgage to be invalid.</w:t>
      </w:r>
      <w:r w:rsidR="0050238D">
        <w:rPr>
          <w:rFonts w:ascii="Times New Roman" w:hAnsi="Times New Roman" w:cs="Times New Roman"/>
          <w:color w:val="000000"/>
        </w:rPr>
        <w:t xml:space="preserve"> Sometime</w:t>
      </w:r>
      <w:r>
        <w:rPr>
          <w:rFonts w:ascii="Times New Roman" w:hAnsi="Times New Roman" w:cs="Times New Roman"/>
          <w:color w:val="000000"/>
        </w:rPr>
        <w:t xml:space="preserve"> thereafter, the respondent made a second attempt to recover the debt by advertising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mortgaged property for sale. That precipitated a suit in the High Court by the appellants who claimed that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attempted sale was not authorised by a legal mortgage. On 28 October 2000, the High Court found in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appellants. The Trust Administrator then appealed to the Court of Appeal in civil appeal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29 of 2003. However, in May 2005, it withdrew the appeal before it could be heard.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meantime, on 25 February 2003, the respondent had instituted a suit by Notice of Motion in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Non-Performing Assets Recovery Tribunal seeking to recover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</w:t>
      </w:r>
      <w:proofErr w:type="gramStart"/>
      <w:r>
        <w:rPr>
          <w:rFonts w:ascii="Times New Roman" w:hAnsi="Times New Roman" w:cs="Times New Roman"/>
          <w:color w:val="000000"/>
        </w:rPr>
        <w:t>,3</w:t>
      </w:r>
      <w:proofErr w:type="gramEnd"/>
      <w:r>
        <w:rPr>
          <w:rFonts w:ascii="Times New Roman" w:hAnsi="Times New Roman" w:cs="Times New Roman"/>
          <w:color w:val="000000"/>
        </w:rPr>
        <w:t xml:space="preserve"> billion which it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was secured by,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equitable mortgages over the appellants’ plots of land. It asked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for orders permitting it to foreclose the appellants’ right to redeem and to sell the property 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debt. On 12 February 2004, the Tribunal granted the orders. An appeal to the Court of Appeal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appellants was dismissed on 19 August 2005.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now appealed to the Supreme Court seeking reversal of the lower courts’ decision that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was entitled to the order of </w:t>
      </w:r>
      <w:r>
        <w:rPr>
          <w:rFonts w:ascii="Times New Roman" w:hAnsi="Times New Roman" w:cs="Times New Roman"/>
          <w:color w:val="000000"/>
        </w:rPr>
        <w:lastRenderedPageBreak/>
        <w:t>foreclosure. The grounds on which the appellants relied were,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manner in which the suit was instituted occasioned a miscarriage of justice, that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 was time-barred, that the matter was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that there were shortfalls regarding the powers of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and that the respondent had released or waived its rights over the mortgaged property.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submissions, counsel for the respondent raised a preliminary issue regarding the contents of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appeal. They argued that parts of the record consisting of correspondence, legal opinions,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records of proceedings in civil appeal number 29 of 2003, purported releases of mortgages and copies of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reports and judgments, had been included contrary to rule 82 of the Supreme Court’s Rules and that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parts ought to be expunged.</w:t>
      </w:r>
      <w:r w:rsidR="0050238D">
        <w:rPr>
          <w:rFonts w:ascii="Times New Roman" w:hAnsi="Times New Roman" w:cs="Times New Roman"/>
          <w:color w:val="000000"/>
        </w:rPr>
        <w:t xml:space="preserve"> </w:t>
      </w:r>
    </w:p>
    <w:p w:rsidR="0050238D" w:rsidRDefault="0050238D" w:rsidP="0050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0238D" w:rsidRDefault="00BF42AD" w:rsidP="0050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Rule 82(3) provided for the Court of Appeal, on the application of any party or of its own motion,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directions on the inclusion or exclusion of any documents in the record of appeal. The purpose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provision was to ensure that the record contained only what was permissible and necessary for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appeal. Where the issue was not settled under rule 82, it was more appropriate 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 it separately rather than along with the substantive issues of the appeal. In this instance, there was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reasonable justification for the inclusion of the documents to which the respondent’s counsel had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objected. These documents had been included in disregard of the principle that an appellate court acted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 material that was properly before the trial court unless for good cause the appellate court gave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leave to any party to adduce additional evidence on appeal; </w:t>
      </w:r>
      <w:r>
        <w:rPr>
          <w:rFonts w:ascii="Times New Roman" w:hAnsi="Times New Roman" w:cs="Times New Roman"/>
          <w:i/>
          <w:iCs/>
          <w:color w:val="000000"/>
        </w:rPr>
        <w:t>General Industries (U) Limited v NPART</w:t>
      </w:r>
      <w:r w:rsidR="0050238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considered. They were also included in total disregard of rule 82 of the Supreme Court Rules.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would therefore be disregarded save for those that the Court of Appeal had relied on in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arriving at its decision.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trite that in civil matters, the only modes of instituting suits were by plaint, originating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and petition. A Notice of Motion was not an alternative mode of instituting any type of suit.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rightly held that institution of the suit by Notice of Motion had been erroneous.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it had erred in holding that section 14(3) of the NPART Act vested power in the Tribunal 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modify the provisions of Order 34, rule 3A. The modifications to the Civil Procedure Rules permitted by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were those intended to permit the Tribunal to modify the procedure in order to cater for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peculiarities of trial by the Tribunal. They were not a general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Tribunal to alter any rules 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discretion. In spite of this wrongful procedure, the appellants had not been prejudiced and no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miscarriage of justice had been occasioned. It was therefore appropriate to invoke the principle found in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126(2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Constitution that substantive justice should not be unduly impeded by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technicalities.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 JSC – Sections 16(3) and 18 of the NPART Act were complementary to each other.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former section indicated the rules governing the conduct of civil disputes while the latter stressed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necessity of affording parties an opportunity to present their respective contentions.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period of limitation for foreclosure actions was twelve years. In this instance, the suit had been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on 25 February 2003 but neither party had been clear on the date when the limitation period had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started to run. The Court of Appeal had rightly held that the burden of establishing a fact lay on the party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alleged it and, in this case, the appellants had not discharged the burden of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showing that the cause of action was time-barred. Moreover, there was adequate evidence on record that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showed that the suit was not time-barred. The equitable mortgages relied on by the respondent were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created in August 1991 and the cause of action must therefore have accrued after this date.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appellants’ contention that the respondent’s suit in the Tribunal and the appellant’s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in the High Court which culminated in the withdrawn appeal were concerned with the same subject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was misconceived. Though both suits indirectly related to the first appellant’s indebtedness to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the substantial issues for determination were different. Moreover, the two suits were not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same parties. There was therefore no merit in the claim that the suit was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129 of the Registration of Titles Act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an equitable mortgage could be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by deposit by the registered proprietor of his or her certificate of title with intent to create a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thereon. In this instance, the second appellant could not in law be permitted to claim that 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deposited his certificates as Managing Director but not as registered proprietor. The second appellant had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deposited the title certificates with intent to create security thereon. The appellant’s argument that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deposited with intent to secure repayment of a fresh loan was not persuasive. Moreover,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attorney granted to the first appellant were not components for the creation or validation of the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equitable mortgage and the so-called “shortfalls” in the </w:t>
      </w:r>
      <w:r>
        <w:rPr>
          <w:rFonts w:ascii="Times New Roman" w:hAnsi="Times New Roman" w:cs="Times New Roman"/>
          <w:color w:val="000000"/>
        </w:rPr>
        <w:lastRenderedPageBreak/>
        <w:t>powers of attorney had not been substantiated.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of whether the respondent had released or waived its rights had not been an issue at trial nor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it been raised on first appeal. If they had desired to rely on this plea, the onus had been on them 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it by adducing evidence, which they had failed to do. The fact that the respondent had permitted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use of the certificates as exhibits could not be construed as evidence of release or waiver, contrary to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counsel’s contention. The order made in civil appeal 29 of 2003 for the “return” of the title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had no legal basis as it had not been made in consequence of a judicial investigation and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adjudication on who was entitled to possession of the certificates. Once the appeal had been withdrawn,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status quo ante </w:t>
      </w:r>
      <w:r>
        <w:rPr>
          <w:rFonts w:ascii="Times New Roman" w:hAnsi="Times New Roman" w:cs="Times New Roman"/>
          <w:color w:val="000000"/>
        </w:rPr>
        <w:t>ought to have been restored.</w:t>
      </w:r>
      <w:r w:rsidR="005023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50238D" w:rsidRDefault="0050238D" w:rsidP="0050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F42AD" w:rsidRPr="0050238D" w:rsidRDefault="00BF42AD" w:rsidP="005023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F42AD" w:rsidRDefault="00BF42AD" w:rsidP="00BF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B7022" w:rsidRDefault="00BF42AD" w:rsidP="00BF42AD">
      <w:r>
        <w:rPr>
          <w:rFonts w:ascii="Times New Roman" w:hAnsi="Times New Roman" w:cs="Times New Roman"/>
          <w:i/>
          <w:iCs/>
          <w:color w:val="000000"/>
        </w:rPr>
        <w:t xml:space="preserve">General Industries (U) Limited v NPART </w:t>
      </w:r>
      <w:r>
        <w:rPr>
          <w:rFonts w:ascii="Times New Roman" w:hAnsi="Times New Roman" w:cs="Times New Roman"/>
          <w:color w:val="000000"/>
        </w:rPr>
        <w:t xml:space="preserve">criminal appeal number 25 of 1998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AD"/>
    <w:rsid w:val="0050238D"/>
    <w:rsid w:val="00AB7022"/>
    <w:rsid w:val="00B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39F9B-FFA0-4BFC-81FF-603E0CFB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2018-07-05T06:07:00Z</dcterms:created>
  <dcterms:modified xsi:type="dcterms:W3CDTF">2018-07-12T12:19:00Z</dcterms:modified>
</cp:coreProperties>
</file>