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Arap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July 2005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255/04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Primary documents – Failure to include primary documents in the record of appeal fatal.</w:t>
      </w:r>
    </w:p>
    <w:p w:rsidR="00444D52" w:rsidRDefault="00CD3D17" w:rsidP="00CD3D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The application before me is by notice of motion dated 7 April 2005 filed on 15 April</w:t>
      </w:r>
    </w:p>
    <w:p w:rsidR="00444D52" w:rsidRDefault="00444D52" w:rsidP="00CD3D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2005. The applicant, SM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, was the plaintiff in the superior court (the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Lady Justice MG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) and was represented in this Court by learned Counsel, BN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seeks an extension of the thirty days (30) time limit imposed by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rule 80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applying to strike out a notice of appeal or an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That time limit commences on the date of service of the record of appeal on the respondent,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date was 25 November 2004, That time limit would have expired on 15 January 2005 after taking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account the exclusion of the three weeks Christmas vacation.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current application was not filed until 15 April 2005 so the delay, to be considered by me, is three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reasons for that delay as set out in the affidavit of BN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submissions before me can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after the record of appeal was served on 25 November 2004, he was concentrating 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attempting to have the appeal fixed for hearing as a matter of urgency, on a priority basis. When this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failed, he turned his attention to perusing the record and it was then that he noticed that the record did not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include copies of the original plaint,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counterclaim, which he believed to be primary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despite the inclusion in the record of the copies of the amended versions of those pleadings,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would include the wording of the original versions.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Ngugi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specify the date when 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noticed this.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states, however, that due to pressure of work during the Christmas vacation, during which his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was closed, he was unable to ascertain the full legal implications of the missing pleadings until 1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2005 when counsel for the second respondent, Kenya Commercial Bank, brought to his attention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Court of Appeal decisions which held that failure to include primary documents in a record of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rendered the appeal incurably defective.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He, on some unspecified date, informed his client of this and was instructed to file an application to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strike out the appeal. He then read the law more closely and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application to strike out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should have been filed within 30 days of the service of the record of appeal, which he calculated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expire on 18 January 2005 after allowing for the Christmas vacation.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followed a further delay until the current application was eventually filed on 15 April 2005,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two and a half months after the expiry of the rule 80 time limit.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consider these reasons for delay to be unconvincing and lacking in cogency. I regard a delay which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the effect of more than doubling the period of 60 days allowed by the rules as inordinate.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the consideration as to whether the application is arguable. It is not disputed that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 of appeal does not contain copies of the original plaint,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counterclaim. It is clear from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85(1)(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that “the pleadings” are mandatorily required to be included in the record, unless a direction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judge or a registrar has been made that the pleadings in question should be excluded from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pursuant to rule 85(3). It has not been suggested, by either party, that any such direction was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for and made in this case.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in the replying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NO </w:t>
      </w:r>
      <w:r>
        <w:rPr>
          <w:rFonts w:ascii="Times New Roman" w:hAnsi="Times New Roman" w:cs="Times New Roman"/>
          <w:i/>
          <w:iCs/>
          <w:color w:val="000000"/>
        </w:rPr>
        <w:t>Sumba</w:t>
      </w:r>
      <w:r>
        <w:rPr>
          <w:rFonts w:ascii="Times New Roman" w:hAnsi="Times New Roman" w:cs="Times New Roman"/>
          <w:color w:val="000000"/>
        </w:rPr>
        <w:t>, learned Counsel for the first respondent to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EJ </w:t>
      </w:r>
      <w:proofErr w:type="spellStart"/>
      <w:r>
        <w:rPr>
          <w:rFonts w:ascii="Times New Roman" w:hAnsi="Times New Roman" w:cs="Times New Roman"/>
          <w:color w:val="000000"/>
        </w:rPr>
        <w:t>Arap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Bii</w:t>
      </w:r>
      <w:proofErr w:type="spellEnd"/>
      <w:r>
        <w:rPr>
          <w:rFonts w:ascii="Times New Roman" w:hAnsi="Times New Roman" w:cs="Times New Roman"/>
          <w:color w:val="000000"/>
        </w:rPr>
        <w:t>, put forward the argument set out in paragraphs 6 to 10 his replying affidavit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28 April 2005 which I now quote: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“6. That the application for striking out the memorandum and record of appeal is not tenable because once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amendments were made to the original plaint and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original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counterclaims, the same became extinguished by the subsequent amendments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then took precedence over the original pleadings.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amended plaint which in itself includes the original plaint is annexed and forms part of the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record of appeal together with the amended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 which in itself included the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original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counterclaim, all of which are annexed to and form part of the record of appeal.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original plaint and the original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 therefore became irrelevant to the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proceedings in this matter once the amendments were effected. I wish to invite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look at the High Court proceedings in High Court civil case number 882 of 2005 to confirm the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irrelevance of the said pleadings (original plaint and original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counterclaim) since the said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proceedings form the basis of this appeal and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relevance of any document emanates from them.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as far as the said amendments were effected, the primary documents for the relevance of this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appeal became the amended plaint and the amended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counterclaim.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amended original documents would have only been primary documents relevant to this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if the appeal lying from the superior court would have been about the leave that was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granted to allow the said amendments.”</w:t>
      </w:r>
      <w:r w:rsidR="00CD3D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believe, that while these arguments have some merit they would best be put to the judge or registrar in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under rule 85(3) with a view to having the original pleadings excluded. However the point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not, in my view, unarguable on an application to strike out the record.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thus faced with a situation in which the delay to be explained is far from short and the reasons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demonstrate a lack of urgency by the applicant. The application to strike out the appeal, if allowed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proceed, has a reasonable chance of succeeding but the victory may be short-lived since an extension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then be applied for and granted to the respondent to file a fresh appeal. If this happened the litigation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drag on for many more months, or more probably, years.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balance of prejudice is perhaps tilted slightly in favour of the applicant being granted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extension since it will not hurt the respondent while the stay of execution of the judgment remains in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and it may mean that the substantive appeal will be determined finally earlier.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weighed up all these factors </w:t>
      </w:r>
      <w:proofErr w:type="gramStart"/>
      <w:r>
        <w:rPr>
          <w:rFonts w:ascii="Times New Roman" w:hAnsi="Times New Roman" w:cs="Times New Roman"/>
          <w:color w:val="000000"/>
        </w:rPr>
        <w:t>I</w:t>
      </w:r>
      <w:proofErr w:type="gramEnd"/>
      <w:r>
        <w:rPr>
          <w:rFonts w:ascii="Times New Roman" w:hAnsi="Times New Roman" w:cs="Times New Roman"/>
          <w:color w:val="000000"/>
        </w:rPr>
        <w:t>, pursuant to rule 4 of the Court of Appeal Rules, exercise my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in favour of the applicant and grant the application now before me.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hereby order that the time for filing the application by Samuel </w:t>
      </w:r>
      <w:proofErr w:type="spellStart"/>
      <w:r>
        <w:rPr>
          <w:rFonts w:ascii="Times New Roman" w:hAnsi="Times New Roman" w:cs="Times New Roman"/>
          <w:color w:val="000000"/>
        </w:rPr>
        <w:t>Mwehia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 dated 7 April 2005,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to strike out Civil appeal number 255 of 2004, is extended to 15 April 2005 and that the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already filed on that date be deemed to have been filed in time. The costs of this application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costs in the appeal.</w:t>
      </w:r>
      <w:r w:rsidR="00CD3D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</w:t>
      </w:r>
    </w:p>
    <w:p w:rsidR="00444D52" w:rsidRDefault="00444D52" w:rsidP="0044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Ngugi</w:t>
      </w:r>
      <w:proofErr w:type="spellEnd"/>
    </w:p>
    <w:p w:rsidR="0080578A" w:rsidRDefault="00444D52" w:rsidP="00444D52">
      <w:r>
        <w:rPr>
          <w:rFonts w:ascii="Times New Roman" w:hAnsi="Times New Roman" w:cs="Times New Roman"/>
          <w:color w:val="000000"/>
        </w:rPr>
        <w:t>For the respondent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52"/>
    <w:rsid w:val="00444D52"/>
    <w:rsid w:val="0080578A"/>
    <w:rsid w:val="00C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0AB4D-5B6D-4622-A463-C4715A7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2018-07-04T19:00:00Z</dcterms:created>
  <dcterms:modified xsi:type="dcterms:W3CDTF">2018-07-12T12:25:00Z</dcterms:modified>
</cp:coreProperties>
</file>