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Githungo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Fidelity Shield Insurance Co Ltd and others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3 May 2004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641/01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FA6B43" w:rsidRDefault="00C60DD5" w:rsidP="00FA6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Amendment – Substitution of plaintiff – Suit commenced by receiver of a company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whose business was subsequently purchased – Whether purchaser of business entitled to substitution as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plaintiff – Whether suit may properly be brought by court-appointed receiver.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Civil procedure – Appointment of receiver by court – Management powers of receiver – Whether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receiver has power to institute civil proceedings without leave of court – Order XL, rule 1 – Civil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Procedure Rules.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Company – Receiver – Power to sue in own name – Receiver appointed by court – No leave of court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sought prior to institution of suit – Whether receiver had properly instituted suit in his own name –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Whether substitution of plaintiff will be allowed after institution of suit.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FA6B43" w:rsidRDefault="00FA6B43" w:rsidP="00FA6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</w:p>
    <w:p w:rsidR="00FA6B43" w:rsidRDefault="00C60DD5" w:rsidP="00FA6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FA6B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 was the receiver-manager of a company, WDF (IM), which was placed under receivership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court order. He brought a suit in his own name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First Defendant for compensation in accordance with an insurance contract. Thereafter, the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receivership of WDF (IM) was terminated pursuant to a court judgment, which returned the management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company to the directors. Subsequently another company, WDF (BVI), acquired the assets of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WDF (IM). The Plaintiff made the current application to substitute WDF (BVI) as plaintiff in his place.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opposed. The Respondents alleged that the receiver had no power to commence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action in his own name, that the receiver had not sought leave of court to commence the action, and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suit was non-founded and could therefore not be given life by substitution of the Plaintiff. The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considered whether under company law, and under the terms of the court receivership order, the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 was entitled to institute civil proceedings during the period of receivership.</w:t>
      </w:r>
      <w:r w:rsidR="00FA6B43">
        <w:rPr>
          <w:rFonts w:ascii="Times New Roman" w:hAnsi="Times New Roman" w:cs="Times New Roman"/>
          <w:color w:val="000000"/>
        </w:rPr>
        <w:t xml:space="preserve"> </w:t>
      </w:r>
    </w:p>
    <w:p w:rsidR="00FA6B43" w:rsidRDefault="00FA6B43" w:rsidP="00FA6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60DD5" w:rsidRDefault="00C60DD5" w:rsidP="00FA6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appointment of a receiver under the Civil Procedure Rules does not by itself confer upon the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 absolute power over the company. The receiver only has such power as the court may confer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him by an order. The management power conferred by the Court in this case did not include a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institute or defend suits in his own name or without leave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Lochab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Brothers v Kenya Furfural</w:t>
      </w:r>
      <w:r w:rsidR="00FA6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 Ltd and others </w:t>
      </w:r>
      <w:r>
        <w:rPr>
          <w:rFonts w:ascii="Times New Roman" w:hAnsi="Times New Roman" w:cs="Times New Roman"/>
          <w:color w:val="000000"/>
        </w:rPr>
        <w:t>[1982] LLR 77 (CAK) followed).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proposed new plaintiff was incorporated long after the cause of action herein was accrued.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Further, no sufficient nexus had been shown between WDF (IM) and WDF (BVI), such as a chose in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action, to show that WDF (BVI) was the successor-in-title of WDF (IM). A certificate of change of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is not sufficient to prove legal nexus.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receiver had wrongly instituted the proceedings in his own name, the said proceedings were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nullity. While no application to strike out the plaint was before the Court, the plaint would be struck out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only direct and inescapable consequence of the Court’s refusal to substitute the Plaintiff.</w:t>
      </w:r>
      <w:r w:rsidR="00FA6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and suit dismissed with costs.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Lochab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Brothers v Kenya Furfural Co Ltd and others </w:t>
      </w:r>
      <w:r>
        <w:rPr>
          <w:rFonts w:ascii="Times New Roman" w:hAnsi="Times New Roman" w:cs="Times New Roman"/>
          <w:color w:val="000000"/>
        </w:rPr>
        <w:t xml:space="preserve">[1982] LLR 77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60DD5" w:rsidRDefault="00C60DD5" w:rsidP="00C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Parker v Dunn </w:t>
      </w:r>
      <w:r>
        <w:rPr>
          <w:rFonts w:ascii="Times New Roman" w:hAnsi="Times New Roman" w:cs="Times New Roman"/>
          <w:color w:val="000000"/>
        </w:rPr>
        <w:t>50 EA 195</w:t>
      </w:r>
    </w:p>
    <w:p w:rsidR="0021070D" w:rsidRDefault="00C60DD5" w:rsidP="00C60DD5">
      <w:proofErr w:type="spellStart"/>
      <w:r>
        <w:rPr>
          <w:rFonts w:ascii="Times New Roman" w:hAnsi="Times New Roman" w:cs="Times New Roman"/>
          <w:i/>
          <w:iCs/>
          <w:color w:val="000000"/>
        </w:rPr>
        <w:t>Pattni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Ali and others </w:t>
      </w:r>
      <w:r>
        <w:rPr>
          <w:rFonts w:ascii="Times New Roman" w:hAnsi="Times New Roman" w:cs="Times New Roman"/>
          <w:color w:val="000000"/>
        </w:rPr>
        <w:t>[1998] LLR 1195 (CCK)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D5"/>
    <w:rsid w:val="0021070D"/>
    <w:rsid w:val="00C60DD5"/>
    <w:rsid w:val="00FA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78BDF-9961-4C7D-9A86-A4A7A63D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2018-07-04T13:44:00Z</dcterms:created>
  <dcterms:modified xsi:type="dcterms:W3CDTF">2018-07-12T12:25:00Z</dcterms:modified>
</cp:coreProperties>
</file>