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83C" w:rsidRDefault="004E783C" w:rsidP="004E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Githungo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Fidelity Shield Insurance Co Ltd and others</w:t>
      </w:r>
    </w:p>
    <w:p w:rsidR="004E783C" w:rsidRDefault="004E783C" w:rsidP="004E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4E783C" w:rsidRDefault="004E783C" w:rsidP="004E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3 May 2004</w:t>
      </w:r>
    </w:p>
    <w:p w:rsidR="004E783C" w:rsidRDefault="004E783C" w:rsidP="004E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641/01</w:t>
      </w:r>
    </w:p>
    <w:p w:rsidR="004E783C" w:rsidRDefault="004E783C" w:rsidP="004E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4E783C" w:rsidRDefault="004E783C" w:rsidP="004E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E783C" w:rsidRDefault="004E783C" w:rsidP="004E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4E783C" w:rsidRDefault="004E783C" w:rsidP="004E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Amendment – Substitution of plaintiff – Suit commenced by receiver of a company</w:t>
      </w:r>
    </w:p>
    <w:p w:rsidR="007E4642" w:rsidRDefault="004E783C" w:rsidP="007E46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whose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business was subsequently purchased – Whether purchaser of business entitled to substitution as</w:t>
      </w:r>
      <w:r w:rsidR="007E464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plaintiff – Whether suit may properly be brought by court-appointed receiver.</w:t>
      </w:r>
      <w:r w:rsidR="007E464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Civil procedure – Appointment of receiver by court – Management powers of receiver – Whether</w:t>
      </w:r>
      <w:r w:rsidR="007E464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receiver has power to institute civil proceedings without leave of court – Order XL, rule 1 – Civil</w:t>
      </w:r>
      <w:r w:rsidR="007E464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Procedure Rules.</w:t>
      </w:r>
      <w:r w:rsidR="007E464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[3] Company – Receiver – Power to sue in own name – Receiver appointed by court – No leave of court</w:t>
      </w:r>
      <w:r w:rsidR="007E464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sought prior to institution of suit – Whether receiver had properly instituted suit in his own name –</w:t>
      </w:r>
      <w:r w:rsidR="007E464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Whether substitution of plaintiff will be allowed after institution of suit.</w:t>
      </w:r>
      <w:r w:rsidR="007E4642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7E4642" w:rsidRDefault="007E4642" w:rsidP="007E46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</w:p>
    <w:p w:rsidR="007E4642" w:rsidRDefault="007E4642" w:rsidP="007E46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4E783C" w:rsidRDefault="007E4642" w:rsidP="007E46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OCHIENG </w:t>
      </w:r>
      <w:r w:rsidR="004E783C">
        <w:rPr>
          <w:rFonts w:ascii="Times New Roman" w:hAnsi="Times New Roman" w:cs="Times New Roman"/>
          <w:b/>
          <w:bCs/>
          <w:color w:val="000000"/>
        </w:rPr>
        <w:t xml:space="preserve">AJ: </w:t>
      </w:r>
      <w:r w:rsidR="004E783C">
        <w:rPr>
          <w:rFonts w:ascii="Times New Roman" w:hAnsi="Times New Roman" w:cs="Times New Roman"/>
          <w:color w:val="000000"/>
        </w:rPr>
        <w:t xml:space="preserve">This is an application by the Plaintiff for substitution. The Plaintiff, Charles </w:t>
      </w:r>
      <w:proofErr w:type="spellStart"/>
      <w:r w:rsidR="004E783C"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E783C">
        <w:rPr>
          <w:rFonts w:ascii="Times New Roman" w:hAnsi="Times New Roman" w:cs="Times New Roman"/>
          <w:color w:val="000000"/>
        </w:rPr>
        <w:t>Githungo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(suing as the Receiver Kenya Duty Free Complex), is also seeking the consequential order of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amendment of the plaint, so as to reflect the substitution.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It is the Plaintiff’s case that the substitution is essential so as to bring before the Court a party whose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presence is necessary to enable the Court </w:t>
      </w:r>
      <w:proofErr w:type="gramStart"/>
      <w:r w:rsidR="004E783C">
        <w:rPr>
          <w:rFonts w:ascii="Times New Roman" w:hAnsi="Times New Roman" w:cs="Times New Roman"/>
          <w:color w:val="000000"/>
        </w:rPr>
        <w:t>to</w:t>
      </w:r>
      <w:proofErr w:type="gramEnd"/>
      <w:r w:rsidR="004E783C">
        <w:rPr>
          <w:rFonts w:ascii="Times New Roman" w:hAnsi="Times New Roman" w:cs="Times New Roman"/>
          <w:color w:val="000000"/>
        </w:rPr>
        <w:t xml:space="preserve"> effectually and completely adjudicate upon and settle all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questions in this suit.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In order to make a decision on this application it is vital to first understand the complex history behind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the World Duty Free Company Limited. The first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fact that must be appreciated is that there have been two (2) companies bearing exactly that very same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name. The first of the two companies was incorporated at the Isle of Man. The date of its incorporation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has not been disclosed to the Court. However, I believe that it is safe to assume that if indeed the said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company was incorporated, the said incorporation must have been in 1998 or earlier. I say so because as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at 24 February 1998, the said company was placed under receivership, by a court order made by </w:t>
      </w:r>
      <w:proofErr w:type="spellStart"/>
      <w:r w:rsidR="004E783C">
        <w:rPr>
          <w:rFonts w:ascii="Times New Roman" w:hAnsi="Times New Roman" w:cs="Times New Roman"/>
          <w:color w:val="000000"/>
        </w:rPr>
        <w:t>Owuor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J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(as she then was). I will hereafter refer to first company as WDF (IM).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The second World Duty Free Company Limited was registered in the British Virgin Islands on 16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October 2001. This company was thereafter registered as a foreign company in Kenya on 21 November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2001. The registration in Kenya was necessitated by the provisions of section 366 of the Companies Act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(Chapter 486) of the Laws of Kenya. This second company will hereafter be cited as WDF (BVI).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The Plaintiff has sworn an affidavit in which he </w:t>
      </w:r>
      <w:r w:rsidR="004E783C">
        <w:rPr>
          <w:rFonts w:ascii="Times New Roman" w:hAnsi="Times New Roman" w:cs="Times New Roman"/>
          <w:i/>
          <w:iCs/>
          <w:color w:val="000000"/>
        </w:rPr>
        <w:t xml:space="preserve">inter alia </w:t>
      </w:r>
      <w:r w:rsidR="004E783C">
        <w:rPr>
          <w:rFonts w:ascii="Times New Roman" w:hAnsi="Times New Roman" w:cs="Times New Roman"/>
          <w:color w:val="000000"/>
        </w:rPr>
        <w:t>stated that Kenya Duty Free Complex was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placed under receivership by an order issued by </w:t>
      </w:r>
      <w:proofErr w:type="spellStart"/>
      <w:r w:rsidR="004E783C">
        <w:rPr>
          <w:rFonts w:ascii="Times New Roman" w:hAnsi="Times New Roman" w:cs="Times New Roman"/>
          <w:color w:val="000000"/>
        </w:rPr>
        <w:t>Owuor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J (as she then was) on 24 February 1998. Strictly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speaking, that deposition is inaccurate. As I understand it, Kenya Duty Free Complex is a business name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used by WDF (IM). The company behind that business was WDF (IM) as at 24 February 1998. A reading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of the order made by </w:t>
      </w:r>
      <w:proofErr w:type="spellStart"/>
      <w:r w:rsidR="004E783C">
        <w:rPr>
          <w:rFonts w:ascii="Times New Roman" w:hAnsi="Times New Roman" w:cs="Times New Roman"/>
          <w:color w:val="000000"/>
        </w:rPr>
        <w:t>Owuor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J confirms that it is WDF (IM) that was placed under receivership.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However, the inaccuracy in the Plaintiff’s affidavit does not have any impact on this application.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The order placing WDF (IM) under receivership was in the following terms: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“That one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Michael Scanlon of PO Box 49794 Nairobi be and is hereby appointed to act as a receiver for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the Third Defendant and do take over management and control of the Third Defendant’s operations at both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Jomo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Kenyatta and Mombasa International Airports Duty Free Complexes as well as the warehouse on land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registration numbers 209/10882/15 and 209/10882/16 along Mombasa Nairobi Road”.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Subsequently, on 30 July 1998 the Plaintiff was appointed as the receiver, to replace </w:t>
      </w:r>
      <w:proofErr w:type="spellStart"/>
      <w:r w:rsidR="004E783C">
        <w:rPr>
          <w:rFonts w:ascii="Times New Roman" w:hAnsi="Times New Roman" w:cs="Times New Roman"/>
          <w:color w:val="000000"/>
        </w:rPr>
        <w:t>Mr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Scanlon.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Plaintiff’s terms were exactly the same as those of </w:t>
      </w:r>
      <w:proofErr w:type="spellStart"/>
      <w:r w:rsidR="004E783C">
        <w:rPr>
          <w:rFonts w:ascii="Times New Roman" w:hAnsi="Times New Roman" w:cs="Times New Roman"/>
          <w:color w:val="000000"/>
        </w:rPr>
        <w:t>Mr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Michael Scanlon, set out above.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It is the Plaintiff’s contention that the said terms of appointment were so wide as to also give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receiver the power to sue and be sued on behalf of the company, WDF (IM). The Plaintiff says that when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he filed the plaint herein on 27 April 2001, he had </w:t>
      </w:r>
      <w:r w:rsidR="004E783C">
        <w:rPr>
          <w:rFonts w:ascii="Times New Roman" w:hAnsi="Times New Roman" w:cs="Times New Roman"/>
          <w:i/>
          <w:iCs/>
          <w:color w:val="000000"/>
        </w:rPr>
        <w:t xml:space="preserve">locus </w:t>
      </w:r>
      <w:r w:rsidR="004E783C">
        <w:rPr>
          <w:rFonts w:ascii="Times New Roman" w:hAnsi="Times New Roman" w:cs="Times New Roman"/>
          <w:color w:val="000000"/>
        </w:rPr>
        <w:t>to sue on behalf of the company.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Thereafter, </w:t>
      </w:r>
      <w:proofErr w:type="spellStart"/>
      <w:r w:rsidR="004E783C">
        <w:rPr>
          <w:rFonts w:ascii="Times New Roman" w:hAnsi="Times New Roman" w:cs="Times New Roman"/>
          <w:color w:val="000000"/>
        </w:rPr>
        <w:t>Mbaluto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J delivered his judgment in </w:t>
      </w:r>
      <w:proofErr w:type="spellStart"/>
      <w:r w:rsidR="004E783C">
        <w:rPr>
          <w:rFonts w:ascii="Times New Roman" w:hAnsi="Times New Roman" w:cs="Times New Roman"/>
          <w:i/>
          <w:iCs/>
          <w:color w:val="000000"/>
        </w:rPr>
        <w:t>Pattni</w:t>
      </w:r>
      <w:proofErr w:type="spellEnd"/>
      <w:r w:rsidR="004E783C">
        <w:rPr>
          <w:rFonts w:ascii="Times New Roman" w:hAnsi="Times New Roman" w:cs="Times New Roman"/>
          <w:i/>
          <w:iCs/>
          <w:color w:val="000000"/>
        </w:rPr>
        <w:t xml:space="preserve"> v Ali and others </w:t>
      </w:r>
      <w:r w:rsidR="004E783C">
        <w:rPr>
          <w:rFonts w:ascii="Times New Roman" w:hAnsi="Times New Roman" w:cs="Times New Roman"/>
          <w:color w:val="000000"/>
        </w:rPr>
        <w:t>[1998] LLR 1195 (CCK).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Plaintiff says that the effect of that judgment was, </w:t>
      </w:r>
      <w:r w:rsidR="004E783C">
        <w:rPr>
          <w:rFonts w:ascii="Times New Roman" w:hAnsi="Times New Roman" w:cs="Times New Roman"/>
          <w:i/>
          <w:iCs/>
          <w:color w:val="000000"/>
        </w:rPr>
        <w:t>inter alia</w:t>
      </w:r>
      <w:r w:rsidR="004E783C">
        <w:rPr>
          <w:rFonts w:ascii="Times New Roman" w:hAnsi="Times New Roman" w:cs="Times New Roman"/>
          <w:color w:val="000000"/>
        </w:rPr>
        <w:t>, to terminate the receivership, and thus hand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over the company back to its directors. The said judgment was delivered on 25 September 2001.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Meanwhile, WDF (IM) had on 30 March 1999 entered into a contract of insurance with </w:t>
      </w:r>
      <w:r w:rsidR="004E783C">
        <w:rPr>
          <w:rFonts w:ascii="Times New Roman" w:hAnsi="Times New Roman" w:cs="Times New Roman"/>
          <w:color w:val="000000"/>
        </w:rPr>
        <w:lastRenderedPageBreak/>
        <w:t>the First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Defendant for compensation, in accordance with the Fidelity Insurance contract. The First Defendant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declined to compensate WDF (IM), prompting this suit.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Following the incorporation of WDF (BVI), on 16 October 2001, and its registration in Kenya on 21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November 2001, the business known as Kenya Duty Free Complex was transferred to WDF (BVI). A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certificate of registration of change of particulars was registered on 15 October 2002. The effect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change of particulars was that WDF (BVI) became authorised to continue the business previously carried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on by WDF (IM).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In compliance with the provisions of Order I, rule 10(3) of the Civil Procedure Rules, WDF (BVI) has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given its written consent to become the plaintiff instead of the current Plaintiff, if this Court does grant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orders for substitution. Initially, the Defendants did object to the consent on the grounds that it was given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late. However, at the end, the First Defendant conceded that consent could be given at any time.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In response to the application, the First and Fourth Defendants have vigorously opposed it. The First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Defendant submits that the very suit itself is non-founded as the Plaintiff did not have </w:t>
      </w:r>
      <w:r w:rsidR="004E783C">
        <w:rPr>
          <w:rFonts w:ascii="Times New Roman" w:hAnsi="Times New Roman" w:cs="Times New Roman"/>
          <w:i/>
          <w:iCs/>
          <w:color w:val="000000"/>
        </w:rPr>
        <w:t xml:space="preserve">locus </w:t>
      </w:r>
      <w:r w:rsidR="004E783C">
        <w:rPr>
          <w:rFonts w:ascii="Times New Roman" w:hAnsi="Times New Roman" w:cs="Times New Roman"/>
          <w:color w:val="000000"/>
        </w:rPr>
        <w:t>to institute it.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It is said that the plaint is void </w:t>
      </w:r>
      <w:r w:rsidR="004E783C">
        <w:rPr>
          <w:rFonts w:ascii="Times New Roman" w:hAnsi="Times New Roman" w:cs="Times New Roman"/>
          <w:i/>
          <w:iCs/>
          <w:color w:val="000000"/>
        </w:rPr>
        <w:t>ab initio</w:t>
      </w:r>
      <w:r w:rsidR="004E783C">
        <w:rPr>
          <w:rFonts w:ascii="Times New Roman" w:hAnsi="Times New Roman" w:cs="Times New Roman"/>
          <w:color w:val="000000"/>
        </w:rPr>
        <w:t>, and it ought therefore not to be given a lease of life by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substitution being sought. The First Defendant does, correctly, point out that WDF (IM) was put under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receivership by the court, so as to protect its assets whilst the parties in that suit continued to fight over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ownership of the company. The said appointment was made pursuant to the provisions of Order XL, rule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1, which stipulates as follows: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“(1) Where it appears to the court to be just and convenient, the court may by order: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="004E783C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) A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ppoint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a receiver of any property whether before or after decree;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="004E783C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) 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="004E783C"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 w:rsidR="004E783C">
        <w:rPr>
          <w:rFonts w:ascii="Times New Roman" w:hAnsi="Times New Roman" w:cs="Times New Roman"/>
          <w:color w:val="000000"/>
          <w:sz w:val="20"/>
          <w:szCs w:val="20"/>
        </w:rPr>
        <w:t>) 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="004E783C"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proofErr w:type="gram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) C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onfer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upon the receiver all such powers as to bringing and defending suits and for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realization, management, protection, preservation and improvement of the property,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collection of the rents and profits thereof, the application and disposal of such rents and profits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and the execution of such documents as the owner himself has, or such of those powers as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court thinks fit”.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A reading of this rule makes it clear that the appointment of a receiver does not by itself confer upon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receiver absolute power over the company. When the court appoints a receiver, it may by order, confer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upon the receiver all such powers as the court thinks fit. My understanding is that the receiver only has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such power as the court may confer upon him by an order. If the court order appointing the receiver does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not specifically confer a particular power on the receiver, it would be deemed that the receiver did not get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any such power. I do not therefore accept the Plaintiff’s contention that the orders of </w:t>
      </w:r>
      <w:proofErr w:type="spellStart"/>
      <w:r w:rsidR="004E783C">
        <w:rPr>
          <w:rFonts w:ascii="Times New Roman" w:hAnsi="Times New Roman" w:cs="Times New Roman"/>
          <w:color w:val="000000"/>
        </w:rPr>
        <w:t>Owuor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J did give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the receiver very wide powers, including the power to sue and to be sued on behalf of the company.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only powers that the court conferred upon the receiver are those that were specified in the court order.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Thus, in my understanding, when the court gave power to the receiver to take over the management and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control of operations of the business and warehouses, the receiver was not necessarily empowered to sue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or be sued on behalf of the company. In my view, it is important to bear in mind the fact that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appointment of the receiver was made in a suit in which the parties were fighting over the ownership of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the shares in the company. In those circumstances, the most important concern of the court was to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safeguard the company whilst the dispute was being resolved through litigation. In order to safeguard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company assets, the court granted an injunction to, </w:t>
      </w:r>
      <w:r w:rsidR="004E783C">
        <w:rPr>
          <w:rFonts w:ascii="Times New Roman" w:hAnsi="Times New Roman" w:cs="Times New Roman"/>
          <w:i/>
          <w:iCs/>
          <w:color w:val="000000"/>
        </w:rPr>
        <w:t>inter alia</w:t>
      </w:r>
      <w:r w:rsidR="004E783C">
        <w:rPr>
          <w:rFonts w:ascii="Times New Roman" w:hAnsi="Times New Roman" w:cs="Times New Roman"/>
          <w:color w:val="000000"/>
        </w:rPr>
        <w:t>, restrain two Defendants from interfering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with the company, its shares and its warehouses. However, in recognition of the need to have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company’s operations continue, the court appointed an independent receiver.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Later on, when the Plaintiff was appointed as the receiver by </w:t>
      </w:r>
      <w:proofErr w:type="spellStart"/>
      <w:r w:rsidR="004E783C">
        <w:rPr>
          <w:rFonts w:ascii="Times New Roman" w:hAnsi="Times New Roman" w:cs="Times New Roman"/>
          <w:color w:val="000000"/>
        </w:rPr>
        <w:t>Kuloba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J on 30 July 1998, the court said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that his appointment would be on the same terms as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those that applied to his predecessor, </w:t>
      </w:r>
      <w:proofErr w:type="spellStart"/>
      <w:r w:rsidR="004E783C">
        <w:rPr>
          <w:rFonts w:ascii="Times New Roman" w:hAnsi="Times New Roman" w:cs="Times New Roman"/>
          <w:color w:val="000000"/>
        </w:rPr>
        <w:t>Mr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Michael Scanlon. And as if to further clarify the terms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Plaintiff’s appointment, </w:t>
      </w:r>
      <w:proofErr w:type="spellStart"/>
      <w:r w:rsidR="004E783C">
        <w:rPr>
          <w:rFonts w:ascii="Times New Roman" w:hAnsi="Times New Roman" w:cs="Times New Roman"/>
          <w:color w:val="000000"/>
        </w:rPr>
        <w:t>Kuloba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J also ordered as follows: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“2. That Charles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Kariuki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Githungo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be and is hereby appointed receiver of the Third Defendant’s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operations at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Jomo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Kenyatta International Airport Nairobi and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Moi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International Airport, Mombasa, as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well as the warehouses on land registration number 209/10882/16 to replace the Applicant/Second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Defendant, Michael Scanlon.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3. 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4. 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5. 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Charles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Kariuki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Githungo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shall be the receiver for the time being and shall account for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management control and operations of the Third Applicant in the Kenya Duty Free Complex by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submitting to the registrar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f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the High Court his accounts in regards to management control and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operations on or before 24 of every third month, unless the Court of Appeal make a variation”.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The emphasis placed by </w:t>
      </w:r>
      <w:proofErr w:type="spellStart"/>
      <w:r w:rsidR="004E783C">
        <w:rPr>
          <w:rFonts w:ascii="Times New Roman" w:hAnsi="Times New Roman" w:cs="Times New Roman"/>
          <w:color w:val="000000"/>
        </w:rPr>
        <w:t>Kuloba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J on the “management control and operations of the Third Applicant in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the Kenya Duty Free Complex” and the requirement that the Plaintiff do regularly give accounts in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regard, further persuades me that he too was satisfied that the powers of the Plaintiff extended only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far, and no further.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If I needed any further persuasion of the correctness of my understanding of the powers given to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Plaintiff, I believe that it is forthcoming from the decree given by </w:t>
      </w:r>
      <w:proofErr w:type="spellStart"/>
      <w:r w:rsidR="004E783C">
        <w:rPr>
          <w:rFonts w:ascii="Times New Roman" w:hAnsi="Times New Roman" w:cs="Times New Roman"/>
          <w:color w:val="000000"/>
        </w:rPr>
        <w:t>Mbaluto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J on 25 September 2001. It is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to be noted that claim (c) is in the following terms: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“An order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lastRenderedPageBreak/>
        <w:t>appointing an interim receiver/manager from the names proposed by the Plaintiff/Applicant in his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affidavit, to solely manage, control and administer </w:t>
      </w:r>
      <w:r w:rsidR="004E783C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all the day to day operations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of the Third Defendant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including the Duty Free Complex’s in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Jomo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Kenyatta International Airport Nairobi,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Moi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International Airport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Mombasa and the warehouses in Nairobi till the final determination of this suit” (emphasis mine).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The Plaintiff clearly wished to have a receiver/manager to manage, control and administer all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day-to-day operations at the Duty Free Complexes and at the warehouses.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I therefore hold that the power given to the Plaintiff did not entitle him to sue on behalf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company. It has not been easy for me to arrive at a decision on this point. I have asked myself what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would happen if someone who had contracted with the company, flagrantly breached the contract during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the time when the receiver was still in place. If the breach was such that it would occasion grave loss to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the company, would not the receiver be obliged to institute legal action so as to safeguard the company?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From a logical perspective, there can be no doubt that the receiver would be expected to take appropriate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legal action to safeguard the assets of the company. But the law says he cannot just assume that he had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authority to institute proceedings. </w:t>
      </w:r>
      <w:proofErr w:type="spellStart"/>
      <w:r w:rsidR="004E783C">
        <w:rPr>
          <w:rFonts w:ascii="Times New Roman" w:hAnsi="Times New Roman" w:cs="Times New Roman"/>
          <w:i/>
          <w:iCs/>
          <w:color w:val="000000"/>
        </w:rPr>
        <w:t>Mulla</w:t>
      </w:r>
      <w:proofErr w:type="spellEnd"/>
      <w:r w:rsidR="004E783C">
        <w:rPr>
          <w:rFonts w:ascii="Times New Roman" w:hAnsi="Times New Roman" w:cs="Times New Roman"/>
          <w:i/>
          <w:iCs/>
          <w:color w:val="000000"/>
        </w:rPr>
        <w:t xml:space="preserve"> on the Code of Civil Procedure </w:t>
      </w:r>
      <w:r w:rsidR="004E783C">
        <w:rPr>
          <w:rFonts w:ascii="Times New Roman" w:hAnsi="Times New Roman" w:cs="Times New Roman"/>
          <w:color w:val="000000"/>
        </w:rPr>
        <w:t>Volume II states at 1533, that: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“A receiver cannot sue or be sued except with leave of the Court by which he was appointed receiver 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There is no statutory provision which requires a party to take leave of the court to sue a receiver. The rule has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come down to us as part of the rules of equity, binding upon all Courts of Justice in this country. It is based 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upon public policy which requires that when the court has assumed possession of a property in the interests of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litigants before it, the authority of the court is not to be obstructed by suits designed to disturb the possession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of the court. The institution of such suits is in the eye of the law a contempt of the authority of the court and,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therefore, the party contemplating such a suit is required to take leave of the court so as to absolve himself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from that charge”.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So, having held earlier herein that the order appointing the Plaintiff as a receiver did not specifically give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him authority to sue or be sued, the Plaintiff would have had to seek leave of the court to institute these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proceedings.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The second ground of objection to the application is that the receiver did not have </w:t>
      </w:r>
      <w:r w:rsidR="004E783C">
        <w:rPr>
          <w:rFonts w:ascii="Times New Roman" w:hAnsi="Times New Roman" w:cs="Times New Roman"/>
          <w:i/>
          <w:iCs/>
          <w:color w:val="000000"/>
        </w:rPr>
        <w:t xml:space="preserve">locus </w:t>
      </w:r>
      <w:r w:rsidR="004E783C">
        <w:rPr>
          <w:rFonts w:ascii="Times New Roman" w:hAnsi="Times New Roman" w:cs="Times New Roman"/>
          <w:color w:val="000000"/>
        </w:rPr>
        <w:t>to sue in his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own name. </w:t>
      </w:r>
      <w:r w:rsidR="004E783C">
        <w:rPr>
          <w:rFonts w:ascii="Times New Roman" w:hAnsi="Times New Roman" w:cs="Times New Roman"/>
          <w:i/>
          <w:iCs/>
          <w:color w:val="000000"/>
        </w:rPr>
        <w:t xml:space="preserve">Kerr on the Law and Practice as to Receivers </w:t>
      </w:r>
      <w:r w:rsidR="004E783C">
        <w:rPr>
          <w:rFonts w:ascii="Times New Roman" w:hAnsi="Times New Roman" w:cs="Times New Roman"/>
          <w:color w:val="000000"/>
        </w:rPr>
        <w:t xml:space="preserve">(16 </w:t>
      </w:r>
      <w:proofErr w:type="spellStart"/>
      <w:r w:rsidR="004E783C">
        <w:rPr>
          <w:rFonts w:ascii="Times New Roman" w:hAnsi="Times New Roman" w:cs="Times New Roman"/>
          <w:color w:val="000000"/>
        </w:rPr>
        <w:t>ed</w:t>
      </w:r>
      <w:proofErr w:type="spellEnd"/>
      <w:r w:rsidR="004E783C">
        <w:rPr>
          <w:rFonts w:ascii="Times New Roman" w:hAnsi="Times New Roman" w:cs="Times New Roman"/>
          <w:color w:val="000000"/>
        </w:rPr>
        <w:t>) states at 168 that: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“A receiver acquires no right of action by virtue of his appointment: he cannot sue in his own name as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receiver,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eg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for debts to a company, or to parties over whose assets he has been appointed receiver; nor can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the court authorize him to do so. In such cases he must maintain the action in the name of the person 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persons who would be entitled to sue apart from his appointment”.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The Court of Appeal for Kenya expressed exactly the same point of view in </w:t>
      </w:r>
      <w:proofErr w:type="spellStart"/>
      <w:r w:rsidR="004E783C">
        <w:rPr>
          <w:rFonts w:ascii="Times New Roman" w:hAnsi="Times New Roman" w:cs="Times New Roman"/>
          <w:i/>
          <w:iCs/>
          <w:color w:val="000000"/>
        </w:rPr>
        <w:t>Lochab</w:t>
      </w:r>
      <w:proofErr w:type="spellEnd"/>
      <w:r w:rsidR="004E783C">
        <w:rPr>
          <w:rFonts w:ascii="Times New Roman" w:hAnsi="Times New Roman" w:cs="Times New Roman"/>
          <w:i/>
          <w:iCs/>
          <w:color w:val="000000"/>
        </w:rPr>
        <w:t xml:space="preserve"> Brothers v Kenya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E783C">
        <w:rPr>
          <w:rFonts w:ascii="Times New Roman" w:hAnsi="Times New Roman" w:cs="Times New Roman"/>
          <w:i/>
          <w:iCs/>
          <w:color w:val="000000"/>
        </w:rPr>
        <w:t xml:space="preserve">Furfural Co Ltd and others </w:t>
      </w:r>
      <w:r w:rsidR="004E783C">
        <w:rPr>
          <w:rFonts w:ascii="Times New Roman" w:hAnsi="Times New Roman" w:cs="Times New Roman"/>
          <w:color w:val="000000"/>
        </w:rPr>
        <w:t>[1982] LLR 77 (CAK) Madan JA (as he then was) expressed himself thus: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“A receiver cannot sue in his own name as a receiver, since he has no property vested in him, so he acquires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no right of action by his appointment. Nor can the court give a receiver leave to sue as receiver.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According to the practice, a receiver was never allowed to originate any proceedings </w:t>
      </w:r>
      <w:r w:rsidR="004E783C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Parker v Dunn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50 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195 at 196. As a comparison a receiver appointed in an action, is to take care of, and receive the property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which is put under his charge. He is not at liberty, and is not entitled, to bring an action in his own name;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reason being, that he has no property vested in him. His appointment does not vest any property in him”.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Kneller JA put it in the following words: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“Lucie-Smith J followed the English authorities before 1939 on the point. They held that a receiver acquires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no right of action because he has been appointed as such, so he cannot sue in his own name as receiver, and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the court cannot authorize him to do so. He must maintain the action in the name of the person or persons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entitled to sue, who would be the one who has the legal or equitable title on which the action is founded.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fact is, the property which is put under his care and the income which he is entitled to receive does not vest 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him”.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E783C">
        <w:rPr>
          <w:rFonts w:ascii="Times New Roman" w:hAnsi="Times New Roman" w:cs="Times New Roman"/>
          <w:color w:val="000000"/>
        </w:rPr>
        <w:t>Chesoni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AJA (as he then was) expressed the same view, in the following words: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“In this case the receivers have no interests, legal or equitable, in the attached goods. The legal interest in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goods is held by the debenture holder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DFCK Limited. That being the case the receivers were not entitled 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bring objection proceedings against execution creditors without joining the holders of the legal interest 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those goods as parties to the action. The receivers had no </w:t>
      </w:r>
      <w:r w:rsidR="004E783C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locus standi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in the matter and their action was 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nullity in law”.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This case before me was filed by the receiver. In accordance with the </w:t>
      </w:r>
      <w:r w:rsidR="004E783C">
        <w:rPr>
          <w:rFonts w:ascii="Times New Roman" w:hAnsi="Times New Roman" w:cs="Times New Roman"/>
          <w:i/>
          <w:iCs/>
          <w:color w:val="000000"/>
        </w:rPr>
        <w:t xml:space="preserve">dicta </w:t>
      </w:r>
      <w:r w:rsidR="004E783C">
        <w:rPr>
          <w:rFonts w:ascii="Times New Roman" w:hAnsi="Times New Roman" w:cs="Times New Roman"/>
          <w:color w:val="000000"/>
        </w:rPr>
        <w:t>of the Court of Appeal in the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E783C">
        <w:rPr>
          <w:rFonts w:ascii="Times New Roman" w:hAnsi="Times New Roman" w:cs="Times New Roman"/>
          <w:i/>
          <w:iCs/>
          <w:color w:val="000000"/>
        </w:rPr>
        <w:t>Lochab</w:t>
      </w:r>
      <w:proofErr w:type="spellEnd"/>
      <w:r w:rsidR="004E783C">
        <w:rPr>
          <w:rFonts w:ascii="Times New Roman" w:hAnsi="Times New Roman" w:cs="Times New Roman"/>
          <w:i/>
          <w:iCs/>
          <w:color w:val="000000"/>
        </w:rPr>
        <w:t xml:space="preserve"> Brothers </w:t>
      </w:r>
      <w:r w:rsidR="004E783C">
        <w:rPr>
          <w:rFonts w:ascii="Times New Roman" w:hAnsi="Times New Roman" w:cs="Times New Roman"/>
          <w:color w:val="000000"/>
        </w:rPr>
        <w:t>case (</w:t>
      </w:r>
      <w:r w:rsidR="004E783C">
        <w:rPr>
          <w:rFonts w:ascii="Times New Roman" w:hAnsi="Times New Roman" w:cs="Times New Roman"/>
          <w:i/>
          <w:iCs/>
          <w:color w:val="000000"/>
        </w:rPr>
        <w:t>supra</w:t>
      </w:r>
      <w:r w:rsidR="004E783C">
        <w:rPr>
          <w:rFonts w:ascii="Times New Roman" w:hAnsi="Times New Roman" w:cs="Times New Roman"/>
          <w:color w:val="000000"/>
        </w:rPr>
        <w:t xml:space="preserve">), I do also hold that the Plaintiff did not have </w:t>
      </w:r>
      <w:r w:rsidR="004E783C"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 w:rsidR="004E783C">
        <w:rPr>
          <w:rFonts w:ascii="Times New Roman" w:hAnsi="Times New Roman" w:cs="Times New Roman"/>
          <w:color w:val="000000"/>
        </w:rPr>
        <w:t>to bring this suit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in his own name. Therefore his action is a nullity and so also the suit instituted by him.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In effect, even if the order appointing the Plaintiff as a receiver could be construed as having been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wide enough to empower the said receiver to institute these proceedings, the suit itself is then a nullity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because it was brought by the receiver in his own name. And once the suit is a nullity, it cannot possibly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be given a new life by substitution of the Plaintiff. That which is a nullity </w:t>
      </w:r>
      <w:r w:rsidR="004E783C">
        <w:rPr>
          <w:rFonts w:ascii="Times New Roman" w:hAnsi="Times New Roman" w:cs="Times New Roman"/>
          <w:i/>
          <w:iCs/>
          <w:color w:val="000000"/>
        </w:rPr>
        <w:t xml:space="preserve">ab initio </w:t>
      </w:r>
      <w:r w:rsidR="004E783C">
        <w:rPr>
          <w:rFonts w:ascii="Times New Roman" w:hAnsi="Times New Roman" w:cs="Times New Roman"/>
          <w:color w:val="000000"/>
        </w:rPr>
        <w:t>remains so for all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time.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The third ground upon which the application is opposed is that the company which is seeking to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substitute the Plaintiff was incorporated long after the contract in issue was entered into. It will be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recalled that WDF (BVI) was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incorporated on 16 </w:t>
      </w:r>
      <w:r w:rsidR="004E783C">
        <w:rPr>
          <w:rFonts w:ascii="Times New Roman" w:hAnsi="Times New Roman" w:cs="Times New Roman"/>
          <w:color w:val="000000"/>
        </w:rPr>
        <w:lastRenderedPageBreak/>
        <w:t>October 2001. Meanwhile, paragraph 10 of the draft amended plaint states that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insurance contract between the Plaintiff and the First Defendant was entered into on 26 May 1999.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Thereafter, at paragraph 14 of the draft amended plaint, it is stated that the cause of action accrued on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nights of 1 and 2 September 1999. For those reasons, the Defendants submit that the intended Plaintiff is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not a person who is necessary for the determination of the real matter in dispute. I do share the same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view, as I am unable to comprehend how a company that was incorporated long after the cause of action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had accrued will be necessary for the determination of a dispute between parties who had contracted and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later fallen out before WDF (BVI) was incorporated. As far as the Applicant is concerned, WDF (BVI) is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the successor in title to WDF (IM). In an </w:t>
      </w:r>
      <w:proofErr w:type="spellStart"/>
      <w:r w:rsidR="004E783C">
        <w:rPr>
          <w:rFonts w:ascii="Times New Roman" w:hAnsi="Times New Roman" w:cs="Times New Roman"/>
          <w:color w:val="000000"/>
        </w:rPr>
        <w:t>endeavour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to explain the relationship between the two WDFs,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the Applicant has annexed Exhibit CKG 4(b), a certificate of registration of a change of particulars. By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that certificate Kenya Duty Free Complex notifies the whole world that: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“World Duty Free Company Limited (limited company incorporated in British Virgin Islands) are now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registered as carrying on business at land registration number 9042/289 </w:t>
      </w:r>
      <w:proofErr w:type="spellStart"/>
      <w:r w:rsidR="004E783C">
        <w:rPr>
          <w:rFonts w:ascii="Times New Roman" w:hAnsi="Times New Roman" w:cs="Times New Roman"/>
          <w:color w:val="000000"/>
          <w:sz w:val="20"/>
          <w:szCs w:val="20"/>
        </w:rPr>
        <w:t>Jomo</w:t>
      </w:r>
      <w:proofErr w:type="spellEnd"/>
      <w:r w:rsidR="004E783C">
        <w:rPr>
          <w:rFonts w:ascii="Times New Roman" w:hAnsi="Times New Roman" w:cs="Times New Roman"/>
          <w:color w:val="000000"/>
          <w:sz w:val="20"/>
          <w:szCs w:val="20"/>
        </w:rPr>
        <w:t xml:space="preserve"> Kenyatta International Airport,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783C">
        <w:rPr>
          <w:rFonts w:ascii="Times New Roman" w:hAnsi="Times New Roman" w:cs="Times New Roman"/>
          <w:color w:val="000000"/>
          <w:sz w:val="20"/>
          <w:szCs w:val="20"/>
        </w:rPr>
        <w:t>Cargo Terminal, Nairobi, PO Box 19122, Nairobi under the business name of Kenya Duty Free Complex”.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E783C">
        <w:rPr>
          <w:rFonts w:ascii="Times New Roman" w:hAnsi="Times New Roman" w:cs="Times New Roman"/>
          <w:color w:val="000000"/>
        </w:rPr>
        <w:t>Mr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E783C">
        <w:rPr>
          <w:rFonts w:ascii="Times New Roman" w:hAnsi="Times New Roman" w:cs="Times New Roman"/>
          <w:color w:val="000000"/>
        </w:rPr>
        <w:t>Wambua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E783C">
        <w:rPr>
          <w:rFonts w:ascii="Times New Roman" w:hAnsi="Times New Roman" w:cs="Times New Roman"/>
          <w:i/>
          <w:iCs/>
          <w:color w:val="000000"/>
        </w:rPr>
        <w:t>Kilonzo</w:t>
      </w:r>
      <w:proofErr w:type="spellEnd"/>
      <w:r w:rsidR="004E783C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submitted that the certificate was evidence that the proprietorship of World Duty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Free (IM) was changed to World Duty Free (BVI). Frankly, I do not understand that submission. These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two companies are in my view two distinct persons. If WDF (IM) wished to change its proprietors, they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could simply have caused shares to change hands. I do not comprehend how the creation of WDF (BVI),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which then takes over the business of Kenya Duty Free Complex at the </w:t>
      </w:r>
      <w:proofErr w:type="spellStart"/>
      <w:r w:rsidR="004E783C">
        <w:rPr>
          <w:rFonts w:ascii="Times New Roman" w:hAnsi="Times New Roman" w:cs="Times New Roman"/>
          <w:color w:val="000000"/>
        </w:rPr>
        <w:t>Jomo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Kenyatta International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Airport, Nairobi, is proof that WDF (IM) proprietorship had changed to WDF (BVI).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One cannot help but wonder why the action taken was necessary, in any event. By his affidavit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Applicant says at paragraph 5 that: “By a subsequent decree of this </w:t>
      </w:r>
      <w:proofErr w:type="spellStart"/>
      <w:r w:rsidR="004E783C">
        <w:rPr>
          <w:rFonts w:ascii="Times New Roman" w:hAnsi="Times New Roman" w:cs="Times New Roman"/>
          <w:color w:val="000000"/>
        </w:rPr>
        <w:t>Honourable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Court issued on 27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September 2001 my appointment as the receiver was revoked and the management of Kenya Duty Free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Complex reverted to World Duty Free Company Limited”.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In my view, once WDF (IM) had taken charge of its destiny, they could have been properly made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Plaintiff instead of the receiver (assuming of course that the suit itself had not been a nullity).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Applicants have not illustrated to the court the real nexus, if any, between WDF (IM) and WDF (BVI).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We do not know what has become of WDF (IM). We do not know if, in law, WDF (BVI) is a successor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in title to WDF (IM). By simply having Kenya Duty Free Complex business at </w:t>
      </w:r>
      <w:proofErr w:type="spellStart"/>
      <w:r w:rsidR="004E783C">
        <w:rPr>
          <w:rFonts w:ascii="Times New Roman" w:hAnsi="Times New Roman" w:cs="Times New Roman"/>
          <w:color w:val="000000"/>
        </w:rPr>
        <w:t>Jomo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Kenyatta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International Airport, Cargo Terminal, Nairobi taken over by WDF (BVI) does not by itself prove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WDF (IM) did assign to WDF (BVI) its choses in action. It must not be lost on anyone that it is on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certificate of registration of a change of particulars, dated 15 October 2002, that land registration number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9042/282 </w:t>
      </w:r>
      <w:proofErr w:type="spellStart"/>
      <w:r w:rsidR="004E783C">
        <w:rPr>
          <w:rFonts w:ascii="Times New Roman" w:hAnsi="Times New Roman" w:cs="Times New Roman"/>
          <w:color w:val="000000"/>
        </w:rPr>
        <w:t>Jomo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Kenyatta International Airport, Cargo Terminal Nairobi is first mentioned. Prior to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date, we had heard about two warehouses land registration numbers 209/10882/15 and 209/10882/16,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along Mombasa Road. We had also heard about Kenya Duty Free Complexes at </w:t>
      </w:r>
      <w:proofErr w:type="spellStart"/>
      <w:r w:rsidR="004E783C">
        <w:rPr>
          <w:rFonts w:ascii="Times New Roman" w:hAnsi="Times New Roman" w:cs="Times New Roman"/>
          <w:color w:val="000000"/>
        </w:rPr>
        <w:t>Jomo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Kenyatta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International Airport Nairobi, and </w:t>
      </w:r>
      <w:proofErr w:type="spellStart"/>
      <w:r w:rsidR="004E783C">
        <w:rPr>
          <w:rFonts w:ascii="Times New Roman" w:hAnsi="Times New Roman" w:cs="Times New Roman"/>
          <w:color w:val="000000"/>
        </w:rPr>
        <w:t>Moi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International Airport, Mombasa. One is therefore left wondering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why the WDF (BVI) ought to be construed as the successor in title to WDF (IM), yet the former only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took over one asset; and which in any event we do not know whether or not was previously in the hands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of WDF (IM).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80"/>
        </w:rPr>
        <w:t>Page 52 of [2004] 1 EA 45 (HCK)</w:t>
      </w:r>
      <w:r>
        <w:rPr>
          <w:rFonts w:ascii="Times New Roman" w:hAnsi="Times New Roman" w:cs="Times New Roman"/>
          <w:color w:val="00008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I hold that the Applicant has failed to satisfy me that there is such a legal nexus between WDF (IM)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and WDF (BVI) that would enable the court conclude that one was the successor in title to the other.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b/>
          <w:bCs/>
          <w:color w:val="000000"/>
        </w:rPr>
        <w:t>Conclusion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The Applicant has not proved to me that World Duty Free Limited (BVI) is a party whose presence is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necessary to enable the Court effectually and completely to adjudicate upon and settle all or any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questions involved in the suit. I therefore decline to substitute the Plaintiff, Charles </w:t>
      </w:r>
      <w:proofErr w:type="spellStart"/>
      <w:r w:rsidR="004E783C">
        <w:rPr>
          <w:rFonts w:ascii="Times New Roman" w:hAnsi="Times New Roman" w:cs="Times New Roman"/>
          <w:color w:val="000000"/>
        </w:rPr>
        <w:t>Kariuki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E783C">
        <w:rPr>
          <w:rFonts w:ascii="Times New Roman" w:hAnsi="Times New Roman" w:cs="Times New Roman"/>
          <w:color w:val="000000"/>
        </w:rPr>
        <w:t>Githungo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(suing as the receiver of Kenya Duty Free Complex), with World Duty Free Company Limited (BVI).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Furthermore, the Plaintiff did not have legal authority to institute the proceedings now before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Court. But even more important, is the fact that if he had had authority to institute proceedings,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Plaintiff was wrong to have instituted these proceedings in his own name. Consequently, the plaint itself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 xml:space="preserve">is a nullity. Whereas, I do </w:t>
      </w:r>
      <w:proofErr w:type="spellStart"/>
      <w:r w:rsidR="004E783C">
        <w:rPr>
          <w:rFonts w:ascii="Times New Roman" w:hAnsi="Times New Roman" w:cs="Times New Roman"/>
          <w:color w:val="000000"/>
        </w:rPr>
        <w:t>recognise</w:t>
      </w:r>
      <w:proofErr w:type="spellEnd"/>
      <w:r w:rsidR="004E783C">
        <w:rPr>
          <w:rFonts w:ascii="Times New Roman" w:hAnsi="Times New Roman" w:cs="Times New Roman"/>
          <w:color w:val="000000"/>
        </w:rPr>
        <w:t xml:space="preserve"> that there is no application before me to strike out the plaint, I do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nonetheless believe that the decision to strike out the plaint is merely a direct and inescapable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consequence of my refusal to substitute the Plaintiff. Accordingly, I do hereby dismiss the application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dated 26 March 2003. I also strike out the plaint dated 27 April 2001. The costs of the application and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suit are awarded to the Defendants.</w:t>
      </w:r>
      <w:r>
        <w:rPr>
          <w:rFonts w:ascii="Times New Roman" w:hAnsi="Times New Roman" w:cs="Times New Roman"/>
          <w:color w:val="000000"/>
        </w:rPr>
        <w:t xml:space="preserve"> </w:t>
      </w:r>
      <w:r w:rsidR="004E783C">
        <w:rPr>
          <w:rFonts w:ascii="Times New Roman" w:hAnsi="Times New Roman" w:cs="Times New Roman"/>
          <w:color w:val="000000"/>
        </w:rPr>
        <w:t>For the Plaintiff:</w:t>
      </w:r>
    </w:p>
    <w:p w:rsidR="004E783C" w:rsidRDefault="004E783C" w:rsidP="004E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Kilonzo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Wambua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Kilonzo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</w:p>
    <w:p w:rsidR="004E783C" w:rsidRDefault="004E783C" w:rsidP="004E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For the Defendants:</w:t>
      </w:r>
    </w:p>
    <w:p w:rsidR="0021070D" w:rsidRDefault="004E783C" w:rsidP="004E783C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3C"/>
    <w:rsid w:val="0021070D"/>
    <w:rsid w:val="004E783C"/>
    <w:rsid w:val="007E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E92A9-7151-42E0-9A2E-A6521131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3190</Words>
  <Characters>18187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2018-07-04T13:45:00Z</dcterms:created>
  <dcterms:modified xsi:type="dcterms:W3CDTF">2018-07-12T12:27:00Z</dcterms:modified>
</cp:coreProperties>
</file>