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CC9" w:rsidRDefault="00D45CC9" w:rsidP="00D45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Gitwany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Investment Limited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Tajmal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Limited and others</w:t>
      </w:r>
    </w:p>
    <w:p w:rsidR="00D45CC9" w:rsidRDefault="00D45CC9" w:rsidP="00D45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D45CC9" w:rsidRDefault="00D45CC9" w:rsidP="00D45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12 May 2006</w:t>
      </w:r>
    </w:p>
    <w:p w:rsidR="00D45CC9" w:rsidRDefault="00D45CC9" w:rsidP="00D45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1114/02</w:t>
      </w:r>
    </w:p>
    <w:p w:rsidR="00D45CC9" w:rsidRDefault="00D45CC9" w:rsidP="00D45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Lenaola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D45CC9" w:rsidRDefault="00D45CC9" w:rsidP="00D45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45CC9" w:rsidRDefault="00D45CC9" w:rsidP="00D45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6061B0" w:rsidRDefault="00D45CC9" w:rsidP="006061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Damages–Proof of special damages – How to prove the mesne profits and rent – Quantification of</w:t>
      </w:r>
      <w:r w:rsidR="006061B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general damages.</w:t>
      </w:r>
      <w:r w:rsidR="006061B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[2] Land – Issuance of two separate titles to two separate persons over the same suit premises – Person</w:t>
      </w:r>
      <w:r w:rsidR="006061B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legally entitled to the property.</w:t>
      </w:r>
      <w:r w:rsidR="006061B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[3] Land – Trespass to land – Whether lack of knowledge is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to trespass – Issues to be proved in</w:t>
      </w:r>
      <w:r w:rsidR="006061B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 claim for trespass – Issues to be considered when quantifying the amount of special damages payable.</w:t>
      </w:r>
      <w:r w:rsidR="006061B0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6061B0" w:rsidRDefault="006061B0" w:rsidP="006061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</w:p>
    <w:p w:rsidR="006061B0" w:rsidRDefault="00D45CC9" w:rsidP="006061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  <w:r w:rsidR="006061B0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suit relates to ownership of a piece of land in </w:t>
      </w:r>
      <w:proofErr w:type="spellStart"/>
      <w:r>
        <w:rPr>
          <w:rFonts w:ascii="Times New Roman" w:hAnsi="Times New Roman" w:cs="Times New Roman"/>
          <w:color w:val="000000"/>
        </w:rPr>
        <w:t>Githunguri</w:t>
      </w:r>
      <w:proofErr w:type="spellEnd"/>
      <w:r>
        <w:rPr>
          <w:rFonts w:ascii="Times New Roman" w:hAnsi="Times New Roman" w:cs="Times New Roman"/>
          <w:color w:val="000000"/>
        </w:rPr>
        <w:t xml:space="preserve"> Road, </w:t>
      </w:r>
      <w:proofErr w:type="spellStart"/>
      <w:r>
        <w:rPr>
          <w:rFonts w:ascii="Times New Roman" w:hAnsi="Times New Roman" w:cs="Times New Roman"/>
          <w:color w:val="000000"/>
        </w:rPr>
        <w:t>Kileleshwa</w:t>
      </w:r>
      <w:proofErr w:type="spellEnd"/>
      <w:r>
        <w:rPr>
          <w:rFonts w:ascii="Times New Roman" w:hAnsi="Times New Roman" w:cs="Times New Roman"/>
          <w:color w:val="000000"/>
        </w:rPr>
        <w:t xml:space="preserve"> in Nairobi. It was the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plaintiff’s case that it had been allocated a Certificate of Lease for 99 years issued under the Registration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Titles Act to residential plot number 209/3088 by the Commissioner of Lands. However subsequently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block of flats were constructed on the parcel of land and a search at the Lands Registry revealed that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another title over the same property had been issued to </w:t>
      </w:r>
      <w:proofErr w:type="spellStart"/>
      <w:r>
        <w:rPr>
          <w:rFonts w:ascii="Times New Roman" w:hAnsi="Times New Roman" w:cs="Times New Roman"/>
          <w:color w:val="000000"/>
        </w:rPr>
        <w:t>Tajmal</w:t>
      </w:r>
      <w:proofErr w:type="spellEnd"/>
      <w:r>
        <w:rPr>
          <w:rFonts w:ascii="Times New Roman" w:hAnsi="Times New Roman" w:cs="Times New Roman"/>
          <w:color w:val="000000"/>
        </w:rPr>
        <w:t xml:space="preserve"> Limited before cancellation of the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plaintiff’s title.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defendant, on the other hand, stated that the land had been transferred to it after purchasing it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from the second and third defendants, holders of the Certificate of Lease, for consideration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million. The land title had also been changed to Land Reference number 209/3088.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a dispute arose between the parties, the Commissioner of Lands wrote claiming that the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plaintiff’s title was doubtful; although it had been registered and that the first defendant had the lawful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title.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plaintiff filed suit seeking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a permanent injunction restraining the defendant from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constructing on the land and a mandatory injunction requiring it to demolish all the structures and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buildings on the land; special damages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30 million and interest.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Commissioner of Lands was enjoined as a third party and, while admitting that two allocation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letters had been issued to both the plaintiff and the first defendant in respect of Land Reference number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209/3088, he contended that the first defendant had the real title to the land.</w:t>
      </w:r>
      <w:r w:rsidR="006061B0">
        <w:rPr>
          <w:rFonts w:ascii="Times New Roman" w:hAnsi="Times New Roman" w:cs="Times New Roman"/>
          <w:color w:val="000000"/>
        </w:rPr>
        <w:t xml:space="preserve"> </w:t>
      </w:r>
    </w:p>
    <w:p w:rsidR="006061B0" w:rsidRDefault="006061B0" w:rsidP="006061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</w:p>
    <w:p w:rsidR="00D45CC9" w:rsidRDefault="00D45CC9" w:rsidP="006061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Land Reference number 209/3088 is in fact the same on the ground as Land Reference number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209/12004. Hence both the plaintiff and the first defendant were provided with two different titles over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same property by the Commissioner of Lands.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evidence that either the plaintiff or the first defendant acted fraudulently or that any of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 misrepresented any facts and which then led them to obtain fraudulent titles. The entire mess in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 parties find themselves in is a creation of and a matter that must be put squarely at the doorstep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Commissioner of Lands.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equity, the first in time prevails so that in the event, such as this one where, by a mistake that is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admitted, the Commissioner of Lands issues two titles in respect of the same parcel of land, then if both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apparently and on the face of them, issued regularly and procedurally without fraud save for the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mistake, then the first in time must prevail. It must prevail because without cancellation of the original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title, it retains its sanctity.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Ng’ok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Keiwua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 xml:space="preserve">[1996] LLR 1371 (CAK); </w:t>
      </w:r>
      <w:r>
        <w:rPr>
          <w:rFonts w:ascii="Times New Roman" w:hAnsi="Times New Roman" w:cs="Times New Roman"/>
          <w:i/>
          <w:iCs/>
          <w:color w:val="000000"/>
        </w:rPr>
        <w:t>Wreck Motors</w:t>
      </w:r>
      <w:r w:rsidR="006061B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Enterprises v Commissioner of Lands </w:t>
      </w:r>
      <w:r>
        <w:rPr>
          <w:rFonts w:ascii="Times New Roman" w:hAnsi="Times New Roman" w:cs="Times New Roman"/>
          <w:color w:val="000000"/>
        </w:rPr>
        <w:t xml:space="preserve">[1997] LLR 546 (CAK);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Faraj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Maharus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JB Martin Class</w:t>
      </w:r>
      <w:r w:rsidR="006061B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Industries and others </w:t>
      </w:r>
      <w:r>
        <w:rPr>
          <w:rFonts w:ascii="Times New Roman" w:hAnsi="Times New Roman" w:cs="Times New Roman"/>
          <w:color w:val="000000"/>
        </w:rPr>
        <w:t>civil appeal number 130 of 2003 [UR] applied).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Whereas the first title cannot be challenged, the second one can be challenged because whereas it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exists and even if procedurally issued it is not absolute nor indefeasible and is relegated to a level of legal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disability and the remedy for a party holding it if aggrieved lies elsewhere.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Trespass can apply as against the first defendant prior to its nullification of title. The legal possession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established by the plaintiff entitles it to possession against all other parties that have shown no better title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than its own. The first defendant falls in this category and once its title is found to be invalid it can only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termed a trespasser.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Wuta-Ofei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Danquah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[1961] 3 All ER 596; </w:t>
      </w:r>
      <w:r>
        <w:rPr>
          <w:rFonts w:ascii="Times New Roman" w:hAnsi="Times New Roman" w:cs="Times New Roman"/>
          <w:i/>
          <w:iCs/>
          <w:color w:val="000000"/>
        </w:rPr>
        <w:t xml:space="preserve">Moya Drift Farm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Theuri</w:t>
      </w:r>
      <w:proofErr w:type="spellEnd"/>
      <w:r w:rsidR="006061B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[1973] EA 114 followed).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party save the plaintiff with its authority should have any right to enter therein and attempt any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construction thereon.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Once a transferee such as the first defendant makes improvements on land believing in good faith that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</w:t>
      </w:r>
      <w:r>
        <w:rPr>
          <w:rFonts w:ascii="Times New Roman" w:hAnsi="Times New Roman" w:cs="Times New Roman"/>
          <w:color w:val="000000"/>
        </w:rPr>
        <w:lastRenderedPageBreak/>
        <w:t>was absolutely entitled to do so, once its title is faulted, then it must be evicted. However, the peculiar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of this case necessitate that neither the plaintiff nor the first defendant should meet the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 of doing so but the party that caused them the inconvenience should do so hence the third Party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bear the costs.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plaintiff has failed to strictly prove the amount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30 000 000 claimed as special damages.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such proof the claim for special damages must fail.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Siree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Lake Turkana Lodges</w:t>
      </w:r>
      <w:r w:rsidR="006061B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Limited </w:t>
      </w:r>
      <w:r>
        <w:rPr>
          <w:rFonts w:ascii="Times New Roman" w:hAnsi="Times New Roman" w:cs="Times New Roman"/>
          <w:color w:val="000000"/>
        </w:rPr>
        <w:t>[1998] LLR 820 (CAK) followed).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ordinary letting value of the property for the period from the date of notice to vacate the land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until the date of delivery of possession by the trespasser would be the value of general damages for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trespass and mesne profits (</w:t>
      </w:r>
      <w:r>
        <w:rPr>
          <w:rFonts w:ascii="Times New Roman" w:hAnsi="Times New Roman" w:cs="Times New Roman"/>
          <w:i/>
          <w:iCs/>
          <w:color w:val="000000"/>
        </w:rPr>
        <w:t xml:space="preserve">Sword Health Properties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Tabet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[1979] All ER 241;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Moya Drift Farm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Theuri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[1973] EA 114 applied).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 without a firm basis of evidence of the monthly expected income, the court cannot speculate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amount of general damages. Hence the same is dismissed.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its actions the Commissioner of Lands together with the Registrar of Titles led the second and the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third defendants to believe that the suit land was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vacant and available for them to take over. It then proceeded to issue title six years after a valid title had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already been issued to the plaintiff. Hence the Commissioner is wholly liable to the first defendant for the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151 500 000 as the value of the property plus improvements thereon by the first defendant.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structures on the suit premises constructed by the first defendant should be removed within 90</w:t>
      </w:r>
      <w:r w:rsidR="00606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days at the cost of the third party, the Commissioner of Lands.</w:t>
      </w:r>
    </w:p>
    <w:p w:rsidR="00D45CC9" w:rsidRDefault="00D45CC9" w:rsidP="00D45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third party shall bear the costs of the suit to the plaintiff and the first defendant.</w:t>
      </w:r>
    </w:p>
    <w:p w:rsidR="00D45CC9" w:rsidRDefault="00D45CC9" w:rsidP="00D45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D45CC9" w:rsidRDefault="00D45CC9" w:rsidP="00D45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D45CC9" w:rsidRDefault="00D45CC9" w:rsidP="00D45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D45CC9" w:rsidRDefault="00D45CC9" w:rsidP="00D45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D45CC9" w:rsidRDefault="00D45CC9" w:rsidP="00D45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D45CC9" w:rsidRDefault="00D45CC9" w:rsidP="00D45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Faraj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Maharus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JB Martin Glass Industries and others </w:t>
      </w:r>
      <w:r>
        <w:rPr>
          <w:rFonts w:ascii="Times New Roman" w:hAnsi="Times New Roman" w:cs="Times New Roman"/>
          <w:color w:val="000000"/>
        </w:rPr>
        <w:t xml:space="preserve">civil appeal 130 of 2003 (UR)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D45CC9" w:rsidRDefault="00D45CC9" w:rsidP="00D45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Hunter and others v Canary Wharf Limited UKHL </w:t>
      </w:r>
      <w:r>
        <w:rPr>
          <w:rFonts w:ascii="Times New Roman" w:hAnsi="Times New Roman" w:cs="Times New Roman"/>
          <w:color w:val="000000"/>
        </w:rPr>
        <w:t>decision of 24 April 1997</w:t>
      </w:r>
    </w:p>
    <w:p w:rsidR="00D45CC9" w:rsidRDefault="00D45CC9" w:rsidP="00D45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Moya Drift Farm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Theuri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[1973] EA 114 – </w:t>
      </w:r>
      <w:r>
        <w:rPr>
          <w:rFonts w:ascii="Times New Roman" w:hAnsi="Times New Roman" w:cs="Times New Roman"/>
          <w:b/>
          <w:bCs/>
          <w:color w:val="000000"/>
        </w:rPr>
        <w:t xml:space="preserve">AP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D45CC9" w:rsidRDefault="00D45CC9" w:rsidP="00D45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Ng’ok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Keiwua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 xml:space="preserve">[1996] LLR 1371 (CAK)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D45CC9" w:rsidRDefault="00D45CC9" w:rsidP="00D45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Ratwani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Deganela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(1956) 17 EACA 37</w:t>
      </w:r>
    </w:p>
    <w:p w:rsidR="00D45CC9" w:rsidRDefault="00D45CC9" w:rsidP="00D45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Siree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Lake Turkana Lodges Limited </w:t>
      </w:r>
      <w:r>
        <w:rPr>
          <w:rFonts w:ascii="Times New Roman" w:hAnsi="Times New Roman" w:cs="Times New Roman"/>
          <w:color w:val="000000"/>
        </w:rPr>
        <w:t xml:space="preserve">[1998] LLR 820 (CAK)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D45CC9" w:rsidRDefault="00D45CC9" w:rsidP="00D45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Sword Health Properties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Tabet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 xml:space="preserve">[1979] All ER 241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D45CC9" w:rsidRDefault="00D45CC9" w:rsidP="00D45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Wreck Motors Enterprises v Commissioner of Lands </w:t>
      </w:r>
      <w:r>
        <w:rPr>
          <w:rFonts w:ascii="Times New Roman" w:hAnsi="Times New Roman" w:cs="Times New Roman"/>
          <w:color w:val="000000"/>
        </w:rPr>
        <w:t xml:space="preserve">[1997] LLR 546 (CAK)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AB7022" w:rsidRDefault="00D45CC9" w:rsidP="00D45CC9">
      <w:proofErr w:type="spellStart"/>
      <w:r>
        <w:rPr>
          <w:rFonts w:ascii="Times New Roman" w:hAnsi="Times New Roman" w:cs="Times New Roman"/>
          <w:i/>
          <w:iCs/>
          <w:color w:val="000000"/>
        </w:rPr>
        <w:t>Wuta-Ofei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Danquah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[1961] All ER 596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CC9"/>
    <w:rsid w:val="006061B0"/>
    <w:rsid w:val="00AB7022"/>
    <w:rsid w:val="00D4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CB78F-8BB5-4A91-9E01-599528F4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2018-07-05T06:10:00Z</dcterms:created>
  <dcterms:modified xsi:type="dcterms:W3CDTF">2018-07-12T12:28:00Z</dcterms:modified>
</cp:coreProperties>
</file>