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Grosvenor v Rogan-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Kamper</w:t>
      </w:r>
      <w:proofErr w:type="spellEnd"/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October 1974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51/1974 (119/74)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Landlord and tenant – Agreement – For lease of more than </w:t>
      </w:r>
      <w:r>
        <w:rPr>
          <w:rFonts w:ascii="Times New Roman" w:hAnsi="Times New Roman" w:cs="Times New Roman"/>
          <w:color w:val="000000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</w:rPr>
        <w:t>months – Valid between the parties –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Tenant holds as if lease had been granted – Registration of Titles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281)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, Indian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Transfer of Property Act </w:t>
      </w:r>
      <w:r>
        <w:rPr>
          <w:rFonts w:ascii="Times New Roman" w:hAnsi="Times New Roman" w:cs="Times New Roman"/>
          <w:color w:val="000000"/>
        </w:rPr>
        <w:t>1882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106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Registration of documents – Interest in immovable property – Agreement for lease – Exempted from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registration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 document creating right to obtain another document – Registration of Documents Act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285)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A6210D" w:rsidRDefault="00523FF3" w:rsidP="00523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23FF3" w:rsidRDefault="00A6210D" w:rsidP="00523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523FF3" w:rsidRDefault="00A6210D" w:rsidP="00523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appellant owns a building in Nairobi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as Penguin House. The respondent, in 1969, wished to lease the fourth floor of that building to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on therein the business of a school. He entered into a written agreement with Tysons Ltd.,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agents, on 29 September 1969. Under its terms, the appellant agreed to grant and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take a lease of the fourth floor for a terms of 5 Years and 1 month from 1 November 1969,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a monthly rental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3,600/-. The respondent entered into possession on 1 November 1969. A draft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 was sent to him for approval but was never approved or executed by him. The respondent paid rent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agreed rate until the end of April 1970. Since then he has paid or tendered rent at the rate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1,800/- a month having purportedly surrendered half the accommodation, according to him with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of the appellant’s agents, which consent they deny having given.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10 May 1971, the appellant’s advocates gave notice by registered letter that they required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vacant possession of the premises on or before 31 May 1971, by reason of failure to pay rent.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did not comply. On the 4 June 1971, this suit was instituted. The grounds of claim are stated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paras. 7 and 8 of the plaint as follows: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The defendant duly paid the agreed rent up to and including the month of April, 1970, but since that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the defendant has failed to pay the agreed rent.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virtue of the aforesaid breach of the express or implied term of the lease, the plaintiff on 10 May,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1971, gave the defendant notice forfeiting the lease with effect from 31 May, 1971, and requiring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delivery up of vacant possession of the premises on or before 31 May, 1971.”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 went on to claim an order for vacant possession, arrears of rent, mesne profits and costs.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use of the word “lease” in para. 8 aforesaid seems to me unfortunate and confusing. There never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 executed lease, and the suit was based on an alleged breach of the agreement to grant and take a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lease, dated 29 September 1969 and referred to in para. 3 of the plaint. The trial judge, unfortunately, fell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same error, and held as follows: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any case, this is a case of an unregistered lease.”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it is not. There never was a lease in existence, capable of registration. Earlier in his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the judge had correctly stated that the letter of 29 September was not a lease for 5 Years and 1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month, but an agreement for such a lease. I think the judge must have intended to say, in the passage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quoted above, that this was a case of an unregistered agreement for a lease. The question arises, whether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an agreement is valid and enforceable by either party although not registered. The judge relied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523F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 </w:t>
      </w:r>
      <w:r>
        <w:rPr>
          <w:rFonts w:ascii="Times New Roman" w:hAnsi="Times New Roman" w:cs="Times New Roman"/>
          <w:color w:val="000000"/>
        </w:rPr>
        <w:t>on s. 4 of the Registration of Documents Act (Cap. 285) which provides for the registration of all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conferring title or interest in or over immovable property, but, as Mr. Le Pelley for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has pointed out, proviso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to that section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exempts from the requirement of registration documents merely creating a right to obtain another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document, which in my view must include an agreement to grant a lease. S. 40 of the Registration of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Titles Act (Cap. 281) provides that no lease for any term exceeding 12 months shall be valid unless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registered, but as we know there never was in existence a lease relating to the suit premises capable of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registration. Must s. 40 be construed as though the word “lease” included an agreement for a lease?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(who appeared in person) submitted that it should, and drew our attention to s. 41, which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 “any lease or agreement for a lease” for a term not exceeding 12 months shall be valid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registration; by necessary implication, he argued, an agreement for a lease for a term exceeding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12 months is invalid unless registered. This submission has on </w:t>
      </w:r>
      <w:r>
        <w:rPr>
          <w:rFonts w:ascii="Times New Roman" w:hAnsi="Times New Roman" w:cs="Times New Roman"/>
          <w:color w:val="000000"/>
        </w:rPr>
        <w:lastRenderedPageBreak/>
        <w:t>the face of it considerable force, but I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the answer is this: an agreement for a term exceeding 12 months, not followed by a registered lease,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gives no protection against the rights of third parties, whereas s. 41 makes it clear that a lease, or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for a lease, for a term not exceeding 12 months is effective for all purposes without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necessity for registration. Furthermore, the trend of judicial decision in East Africa has been for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to enforce unregistered leases or agreements for leases as contracts inter parts, where the contract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one capable of being specifically enforced and does not affect the rights of third parties. As was said in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Figueiredo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Co. v. Moorings Hotel</w:t>
      </w:r>
      <w:r>
        <w:rPr>
          <w:rFonts w:ascii="Times New Roman" w:hAnsi="Times New Roman" w:cs="Times New Roman"/>
          <w:color w:val="000000"/>
        </w:rPr>
        <w:t>, [1960] E.A. 926: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question is not the creation of an estate or interest in land but whether a term in a contract or a term of a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tenancy at will can be enforced.”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case was cited and followed in </w:t>
      </w:r>
      <w:r>
        <w:rPr>
          <w:rFonts w:ascii="Times New Roman" w:hAnsi="Times New Roman" w:cs="Times New Roman"/>
          <w:i/>
          <w:iCs/>
          <w:color w:val="000000"/>
        </w:rPr>
        <w:t xml:space="preserve">Clarke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Sondhi</w:t>
      </w:r>
      <w:proofErr w:type="spellEnd"/>
      <w:r>
        <w:rPr>
          <w:rFonts w:ascii="Times New Roman" w:hAnsi="Times New Roman" w:cs="Times New Roman"/>
          <w:color w:val="000000"/>
        </w:rPr>
        <w:t xml:space="preserve">, [1963] E.A. 107. At p. 112 </w:t>
      </w:r>
      <w:proofErr w:type="spellStart"/>
      <w:r>
        <w:rPr>
          <w:rFonts w:ascii="Times New Roman" w:hAnsi="Times New Roman" w:cs="Times New Roman"/>
          <w:color w:val="000000"/>
        </w:rPr>
        <w:t>Crawshaw</w:t>
      </w:r>
      <w:proofErr w:type="spellEnd"/>
      <w:r>
        <w:rPr>
          <w:rFonts w:ascii="Times New Roman" w:hAnsi="Times New Roman" w:cs="Times New Roman"/>
          <w:color w:val="000000"/>
        </w:rPr>
        <w:t>, J.A. quoted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approval the following extract from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 on the Indian Transfer of Property Act: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transferor is not debarred from enforcing a right in respect of property which is expressly provided by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terms of the contract. So if the contract were an agreement of lease not provable because of want of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registration, the lessee could not resist a demand for rent.”</w:t>
      </w:r>
      <w:r w:rsidR="00523F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judge’s view that there was no valid lease (or agreement for a lease) led him to apply s. 106 of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Property Act, and hold that the agreement between the parties must be deemed to have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resulted in a lease from month to month, and accordingly was within the competence of the Landlord and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Tenant (Shops, Hotels and Catering Establishments) Act (Cap. 301). The opening words of s. 106 read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“In the absence of a contract . . . to the contrary”. In my view there was such a contract between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parties, evidenced by the agreement of 29 September 1969. Its material terms are sufficiently stated: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names of the lessor’s agents, the name of the lessee, the description of the property, the term and its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commencement, and the rent agreed to be paid. This contract could have been ordered to be specifically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performed at the instance of either party. As regards covenants and stipulations which are not stated,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must be deemed to hold under the same terms as if a lease has been granted, and he cannot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 of the exercise by the landlord of the same rights as the landlord would have had if a lease had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granted: see the judgment of </w:t>
      </w:r>
      <w:proofErr w:type="spellStart"/>
      <w:r>
        <w:rPr>
          <w:rFonts w:ascii="Times New Roman" w:hAnsi="Times New Roman" w:cs="Times New Roman"/>
          <w:color w:val="000000"/>
        </w:rPr>
        <w:t>Jessel</w:t>
      </w:r>
      <w:proofErr w:type="spellEnd"/>
      <w:r>
        <w:rPr>
          <w:rFonts w:ascii="Times New Roman" w:hAnsi="Times New Roman" w:cs="Times New Roman"/>
          <w:color w:val="000000"/>
        </w:rPr>
        <w:t xml:space="preserve">, M.R. in </w:t>
      </w:r>
      <w:r>
        <w:rPr>
          <w:rFonts w:ascii="Times New Roman" w:hAnsi="Times New Roman" w:cs="Times New Roman"/>
          <w:i/>
          <w:iCs/>
          <w:color w:val="000000"/>
        </w:rPr>
        <w:t xml:space="preserve">Walsh v. Lonsdale </w:t>
      </w:r>
      <w:r>
        <w:rPr>
          <w:rFonts w:ascii="Times New Roman" w:hAnsi="Times New Roman" w:cs="Times New Roman"/>
          <w:color w:val="000000"/>
        </w:rPr>
        <w:t xml:space="preserve">(1882), 21 </w:t>
      </w:r>
      <w:proofErr w:type="spellStart"/>
      <w:r>
        <w:rPr>
          <w:rFonts w:ascii="Times New Roman" w:hAnsi="Times New Roman" w:cs="Times New Roman"/>
          <w:color w:val="000000"/>
        </w:rPr>
        <w:t>Ch.D</w:t>
      </w:r>
      <w:proofErr w:type="spellEnd"/>
      <w:r>
        <w:rPr>
          <w:rFonts w:ascii="Times New Roman" w:hAnsi="Times New Roman" w:cs="Times New Roman"/>
          <w:color w:val="000000"/>
        </w:rPr>
        <w:t>. 9.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 that in my view this appeal must succeed, and I would so order, and award the appellant the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this appeal. I would set aside the order dismissing the suit, and the order for costs in favour of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and remit the suit to the same judge for decision on the basis that there was a valid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between the parties for the leasing of the suit premises for the term certain of 5 years and 1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month. The final determination of the suit will necessitate a decision by the judge on those issues arising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the pleadings and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which he has made no findings, such as whether there was an effective surrender of part of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demised property; whether a stipulation should be implied into the agreement giving the landlord a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demand vacant possession, on giving 15 days’ notice, for failure to pay rent; whether (as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before us by the respondent) the agreement was void for illegality in that the landlord agreed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lease premises for use as a school in respect of which no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had at the time been issued, and such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issues as the judge may consider relevant. It will be for the judge to decide whether to hear further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by the parties. The costs of the whole suit will be in the discretion of the judge.</w:t>
      </w:r>
      <w:r w:rsidR="00523FF3">
        <w:rPr>
          <w:rFonts w:ascii="Times New Roman" w:hAnsi="Times New Roman" w:cs="Times New Roman"/>
          <w:color w:val="000000"/>
        </w:rPr>
        <w:t xml:space="preserve"> </w:t>
      </w:r>
    </w:p>
    <w:p w:rsidR="00523FF3" w:rsidRDefault="00A6210D" w:rsidP="00523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I am in complete agreement with the judgment of Law, Ag. V.-P., and with the order he has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proposed and as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J.A., also agrees, it is so ordered.</w:t>
      </w:r>
      <w:r w:rsidR="00523FF3">
        <w:rPr>
          <w:rFonts w:ascii="Times New Roman" w:hAnsi="Times New Roman" w:cs="Times New Roman"/>
          <w:color w:val="000000"/>
        </w:rPr>
        <w:t xml:space="preserve"> </w:t>
      </w:r>
    </w:p>
    <w:p w:rsidR="00A6210D" w:rsidRDefault="00A6210D" w:rsidP="00523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agree with the judgement of Law, Ag. V.-P., which I have had the advantage of reading in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draft, and have nothing useful to add.</w:t>
      </w:r>
      <w:r w:rsidR="00523F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6210D" w:rsidRDefault="00A6210D" w:rsidP="00A62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Le Pelley &amp; KA Fraser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Hamilton Harrison &amp; Mathews</w:t>
      </w:r>
      <w:r>
        <w:rPr>
          <w:rFonts w:ascii="Times New Roman" w:hAnsi="Times New Roman" w:cs="Times New Roman"/>
          <w:color w:val="000000"/>
        </w:rPr>
        <w:t>, Nairobi)</w:t>
      </w:r>
    </w:p>
    <w:p w:rsidR="003278A0" w:rsidRDefault="00A6210D" w:rsidP="00A6210D">
      <w:r>
        <w:rPr>
          <w:rFonts w:ascii="Times New Roman" w:hAnsi="Times New Roman" w:cs="Times New Roman"/>
          <w:color w:val="000000"/>
        </w:rPr>
        <w:t>The respondent appeared in person.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0D"/>
    <w:rsid w:val="003278A0"/>
    <w:rsid w:val="00523FF3"/>
    <w:rsid w:val="00A6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3D590-4477-4ED0-9FDE-507F4557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2018-07-06T12:01:00Z</dcterms:created>
  <dcterms:modified xsi:type="dcterms:W3CDTF">2018-07-12T12:40:00Z</dcterms:modified>
</cp:coreProperties>
</file>